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02" w:rsidRPr="008B6805" w:rsidRDefault="00A917B9" w:rsidP="009E7E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7B9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Министерства природных ресурсов Забайкальского каря по лицензированию деятельности по заготовке, хранению, переработке и реализации лома черных ме</w:t>
      </w:r>
      <w:r>
        <w:rPr>
          <w:rFonts w:ascii="Times New Roman" w:hAnsi="Times New Roman" w:cs="Times New Roman"/>
          <w:b/>
          <w:sz w:val="28"/>
          <w:szCs w:val="28"/>
        </w:rPr>
        <w:t>таллов, цветных металлов за 2022</w:t>
      </w:r>
      <w:bookmarkStart w:id="0" w:name="_GoBack"/>
      <w:bookmarkEnd w:id="0"/>
      <w:r w:rsidRPr="00A917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7326" w:rsidRPr="008B6805" w:rsidRDefault="00947326" w:rsidP="009E7E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0A02" w:rsidRPr="008B6805" w:rsidTr="008E0A02">
        <w:tc>
          <w:tcPr>
            <w:tcW w:w="9345" w:type="dxa"/>
          </w:tcPr>
          <w:p w:rsidR="008E0A02" w:rsidRPr="008B6805" w:rsidRDefault="008E0A02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1. Состояние нормативно – правового регулирования в области лицензирования конкретных видов деятельности</w:t>
            </w:r>
          </w:p>
        </w:tc>
      </w:tr>
    </w:tbl>
    <w:p w:rsidR="00947326" w:rsidRPr="008B6805" w:rsidRDefault="00947326" w:rsidP="00947326">
      <w:pPr>
        <w:tabs>
          <w:tab w:val="left" w:pos="53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Осуществление лицензирования деятельности по заготовке, хранению, переработке и реализации лома черных металлов, цветных металлов регламентируется следующими нормативными правовыми актами: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(Федеральный закон от 05 августа 2000 год</w:t>
      </w:r>
      <w:r w:rsidR="00ED0913" w:rsidRPr="008B6805">
        <w:rPr>
          <w:rFonts w:ascii="Times New Roman" w:hAnsi="Times New Roman" w:cs="Times New Roman"/>
          <w:sz w:val="28"/>
          <w:szCs w:val="28"/>
        </w:rPr>
        <w:t>а № 117-ФЗ, часть вторая, подпункт</w:t>
      </w:r>
      <w:r w:rsidRPr="008B6805">
        <w:rPr>
          <w:rFonts w:ascii="Times New Roman" w:hAnsi="Times New Roman" w:cs="Times New Roman"/>
          <w:sz w:val="28"/>
          <w:szCs w:val="28"/>
        </w:rPr>
        <w:t xml:space="preserve"> 92 </w:t>
      </w:r>
      <w:bookmarkStart w:id="1" w:name="OLE_LINK22"/>
      <w:bookmarkStart w:id="2" w:name="OLE_LINK23"/>
      <w:r w:rsidRPr="008B6805">
        <w:rPr>
          <w:rFonts w:ascii="Times New Roman" w:hAnsi="Times New Roman" w:cs="Times New Roman"/>
          <w:sz w:val="28"/>
          <w:szCs w:val="28"/>
        </w:rPr>
        <w:t>п</w:t>
      </w:r>
      <w:r w:rsidR="00ED0913" w:rsidRPr="008B6805">
        <w:rPr>
          <w:rFonts w:ascii="Times New Roman" w:hAnsi="Times New Roman" w:cs="Times New Roman"/>
          <w:sz w:val="28"/>
          <w:szCs w:val="28"/>
        </w:rPr>
        <w:t>ункта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1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ст</w:t>
      </w:r>
      <w:r w:rsidR="00ED0913" w:rsidRPr="008B6805">
        <w:rPr>
          <w:rFonts w:ascii="Times New Roman" w:hAnsi="Times New Roman" w:cs="Times New Roman"/>
          <w:sz w:val="28"/>
          <w:szCs w:val="28"/>
        </w:rPr>
        <w:t>атьи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333.33</w:t>
      </w:r>
      <w:bookmarkEnd w:id="1"/>
      <w:bookmarkEnd w:id="2"/>
      <w:r w:rsidRPr="008B6805">
        <w:rPr>
          <w:rFonts w:ascii="Times New Roman" w:hAnsi="Times New Roman" w:cs="Times New Roman"/>
          <w:sz w:val="28"/>
          <w:szCs w:val="28"/>
        </w:rPr>
        <w:t>)</w:t>
      </w:r>
      <w:r w:rsidR="00304211" w:rsidRPr="008B6805">
        <w:rPr>
          <w:rFonts w:ascii="Times New Roman" w:hAnsi="Times New Roman" w:cs="Times New Roman"/>
          <w:sz w:val="28"/>
          <w:szCs w:val="28"/>
        </w:rPr>
        <w:t xml:space="preserve"> (далее – НК РФ</w:t>
      </w:r>
      <w:r w:rsidR="00E376CF" w:rsidRPr="008B6805">
        <w:rPr>
          <w:rFonts w:ascii="Times New Roman" w:hAnsi="Times New Roman" w:cs="Times New Roman"/>
          <w:sz w:val="28"/>
          <w:szCs w:val="28"/>
        </w:rPr>
        <w:t>)</w:t>
      </w:r>
      <w:r w:rsidRPr="008B6805">
        <w:rPr>
          <w:rFonts w:ascii="Times New Roman" w:hAnsi="Times New Roman" w:cs="Times New Roman"/>
          <w:sz w:val="28"/>
          <w:szCs w:val="28"/>
        </w:rPr>
        <w:t>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(Федеральный закон от 30 декабря 2001 года № 195-ФЗ)</w:t>
      </w:r>
      <w:r w:rsidR="00304211" w:rsidRPr="008B6805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Pr="008B6805">
        <w:rPr>
          <w:rFonts w:ascii="Times New Roman" w:hAnsi="Times New Roman" w:cs="Times New Roman"/>
          <w:sz w:val="28"/>
          <w:szCs w:val="28"/>
        </w:rPr>
        <w:t>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Федеральным законом от 05 мая 2011 года № 99-ФЗ «О лицензировании отдельных видов деятельности» (далее – Закон о лицензировании);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Федеральным законом от 24 июня 1998 года № 89-ФЗ «Об отходах производства и потребления»;</w:t>
      </w:r>
    </w:p>
    <w:p w:rsidR="008848F8" w:rsidRPr="007173D2" w:rsidRDefault="007173D2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3D2">
        <w:rPr>
          <w:rFonts w:ascii="Times New Roman" w:hAnsi="Times New Roman" w:cs="Times New Roman"/>
          <w:sz w:val="28"/>
          <w:szCs w:val="28"/>
        </w:rPr>
        <w:t>Федеральным законом от 31 июля 2020</w:t>
      </w:r>
      <w:r w:rsidR="008848F8" w:rsidRPr="007173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173D2">
        <w:rPr>
          <w:rFonts w:ascii="Times New Roman" w:hAnsi="Times New Roman" w:cs="Times New Roman"/>
          <w:sz w:val="28"/>
          <w:szCs w:val="28"/>
        </w:rPr>
        <w:t>248</w:t>
      </w:r>
      <w:r w:rsidR="008848F8" w:rsidRPr="007173D2">
        <w:rPr>
          <w:rFonts w:ascii="Times New Roman" w:hAnsi="Times New Roman" w:cs="Times New Roman"/>
          <w:sz w:val="28"/>
          <w:szCs w:val="28"/>
        </w:rPr>
        <w:t>-ФЗ «</w:t>
      </w:r>
      <w:r w:rsidRPr="007173D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848F8" w:rsidRPr="007173D2">
        <w:rPr>
          <w:rFonts w:ascii="Times New Roman" w:hAnsi="Times New Roman" w:cs="Times New Roman"/>
          <w:sz w:val="28"/>
          <w:szCs w:val="28"/>
        </w:rPr>
        <w:t>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0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8B680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AD0F5D">
        <w:rPr>
          <w:rFonts w:ascii="Times New Roman" w:hAnsi="Times New Roman" w:cs="Times New Roman"/>
          <w:sz w:val="28"/>
          <w:szCs w:val="28"/>
        </w:rPr>
        <w:t>ьства Российской Федерации от 28 мая 2022</w:t>
      </w:r>
      <w:r w:rsidR="004103A1" w:rsidRPr="008B6805">
        <w:rPr>
          <w:rFonts w:ascii="Times New Roman" w:hAnsi="Times New Roman" w:cs="Times New Roman"/>
          <w:sz w:val="28"/>
          <w:szCs w:val="28"/>
        </w:rPr>
        <w:t> </w:t>
      </w:r>
      <w:r w:rsidR="00AD0F5D">
        <w:rPr>
          <w:rFonts w:ascii="Times New Roman" w:hAnsi="Times New Roman" w:cs="Times New Roman"/>
          <w:sz w:val="28"/>
          <w:szCs w:val="28"/>
        </w:rPr>
        <w:t>года № 980</w:t>
      </w:r>
      <w:r w:rsidRPr="008B6805">
        <w:rPr>
          <w:rFonts w:ascii="Times New Roman" w:hAnsi="Times New Roman" w:cs="Times New Roman"/>
          <w:sz w:val="28"/>
          <w:szCs w:val="28"/>
        </w:rPr>
        <w:t xml:space="preserve"> «</w:t>
      </w:r>
      <w:r w:rsidR="00AD0F5D" w:rsidRPr="00AD0F5D">
        <w:rPr>
          <w:rFonts w:ascii="Times New Roman" w:hAnsi="Times New Roman" w:cs="Times New Roman"/>
          <w:sz w:val="28"/>
          <w:szCs w:val="28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</w:r>
      <w:r w:rsidRPr="008B6805">
        <w:rPr>
          <w:rFonts w:ascii="Times New Roman" w:hAnsi="Times New Roman" w:cs="Times New Roman"/>
          <w:sz w:val="28"/>
          <w:szCs w:val="28"/>
        </w:rPr>
        <w:t>»</w:t>
      </w:r>
      <w:r w:rsidR="002E424E" w:rsidRPr="008B6805">
        <w:rPr>
          <w:rFonts w:ascii="Times New Roman" w:hAnsi="Times New Roman" w:cs="Times New Roman"/>
          <w:sz w:val="28"/>
          <w:szCs w:val="28"/>
        </w:rPr>
        <w:t xml:space="preserve"> (далее – Положение о лицензировании)</w:t>
      </w:r>
      <w:r w:rsidRPr="008B6805">
        <w:rPr>
          <w:rFonts w:ascii="Times New Roman" w:hAnsi="Times New Roman" w:cs="Times New Roman"/>
          <w:sz w:val="28"/>
          <w:szCs w:val="28"/>
        </w:rPr>
        <w:t>;</w:t>
      </w:r>
    </w:p>
    <w:p w:rsidR="008848F8" w:rsidRPr="008B6805" w:rsidRDefault="008848F8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0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8B68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 ноября 2011</w:t>
      </w:r>
      <w:r w:rsidR="005F1309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года № 957 «Об организации лицензирования отдельных видов деятельности»;</w:t>
      </w:r>
    </w:p>
    <w:p w:rsidR="008848F8" w:rsidRPr="008B6805" w:rsidRDefault="008848F8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proofErr w:type="gramEnd"/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Забайкальского края от 01 июня 2010 года № 219</w:t>
      </w:r>
      <w:r w:rsidRPr="008B68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перечня разрешенных для приема от физических лиц лома и отходов цветных металлов, образующихся в быту»;</w:t>
      </w:r>
    </w:p>
    <w:p w:rsidR="008848F8" w:rsidRPr="008B6805" w:rsidRDefault="008848F8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proofErr w:type="gramEnd"/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Забайкальского края от 27 декабря 2016 года № 503 «Об утверждении Положения о Министерстве природных ресурсов Забайкальского края»;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05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8B6805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Забайкальского края от 01 июня 2018 года № 14-н/п «Об утверждении Административного </w:t>
      </w:r>
      <w:r w:rsidRPr="008B680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</w:t>
      </w:r>
      <w:r w:rsidRPr="008B6805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предоставления Министерством природных ресурсов Забайкальского края государственной услуги </w:t>
      </w:r>
      <w:r w:rsidRPr="008B6805">
        <w:rPr>
          <w:rFonts w:ascii="Times New Roman" w:hAnsi="Times New Roman" w:cs="Times New Roman"/>
          <w:sz w:val="28"/>
          <w:szCs w:val="28"/>
        </w:rPr>
        <w:t>по лицензированию деятельности по заготовке, хранению, переработке и реализации лома черных металлов, цветных металлов»;</w:t>
      </w:r>
    </w:p>
    <w:p w:rsidR="008848F8" w:rsidRPr="008B6805" w:rsidRDefault="008848F8" w:rsidP="009E7E67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6805">
        <w:rPr>
          <w:rFonts w:ascii="Times New Roman" w:hAnsi="Times New Roman" w:cs="Times New Roman"/>
          <w:bCs/>
          <w:sz w:val="28"/>
          <w:szCs w:val="28"/>
        </w:rPr>
        <w:t>приказом</w:t>
      </w:r>
      <w:proofErr w:type="gramEnd"/>
      <w:r w:rsidRPr="008B6805">
        <w:rPr>
          <w:rFonts w:ascii="Times New Roman" w:hAnsi="Times New Roman" w:cs="Times New Roman"/>
          <w:bCs/>
          <w:sz w:val="28"/>
          <w:szCs w:val="28"/>
        </w:rPr>
        <w:t xml:space="preserve"> Министерства природных ресурсов Забайкальского края от 15 декабря 2017 года № 48-н/п «Об утверждении перечня должностных лиц Министерства природных ресурсов Забайкальского края и подведомственных ему учреждений, уполномоченных составлять протоколы об административных правонарушениях» (</w:t>
      </w:r>
      <w:r w:rsidRPr="008B680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8B680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интернет-портал правовой информации исполнительных органов государственной власти Забайкальского края (http://право.забайкальскийкрай.рф)</w:t>
      </w:r>
      <w:r w:rsidR="004F1E9E" w:rsidRPr="008B680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B6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0A02" w:rsidRPr="008B6805" w:rsidRDefault="008848F8" w:rsidP="00CD34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Все вышеперечисленные нормативно-правовые акты размещены на официальном сайте Министерства</w:t>
      </w:r>
      <w:r w:rsidR="00E376CF" w:rsidRPr="008B6805">
        <w:rPr>
          <w:rFonts w:ascii="Times New Roman" w:hAnsi="Times New Roman" w:cs="Times New Roman"/>
          <w:sz w:val="28"/>
          <w:szCs w:val="28"/>
        </w:rPr>
        <w:t xml:space="preserve"> природных ресурсов Забайкальского края (далее – Министерство)</w:t>
      </w:r>
      <w:r w:rsidRPr="008B68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6" w:history="1">
        <w:r w:rsidRPr="008B68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https://minprir.75.ru/</w:t>
        </w:r>
      </w:hyperlink>
      <w:r w:rsidRPr="008B6805">
        <w:rPr>
          <w:rFonts w:ascii="Times New Roman" w:hAnsi="Times New Roman" w:cs="Times New Roman"/>
          <w:sz w:val="28"/>
          <w:szCs w:val="28"/>
        </w:rPr>
        <w:t>.</w:t>
      </w:r>
    </w:p>
    <w:p w:rsidR="00CD343B" w:rsidRPr="008B6805" w:rsidRDefault="00CD343B" w:rsidP="00CD3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сфере лицензирования указанной деятельности на законодательном уровне решены основные вопросы. Нормативные правовые акты субъекта не вступают в противоречие с федеральным законодательством.</w:t>
      </w:r>
    </w:p>
    <w:p w:rsidR="00B146A4" w:rsidRPr="008B6805" w:rsidRDefault="00CD343B" w:rsidP="00B1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При этом</w:t>
      </w:r>
      <w:r w:rsidR="001A314B" w:rsidRPr="008B6805">
        <w:rPr>
          <w:rFonts w:ascii="Times New Roman" w:hAnsi="Times New Roman" w:cs="Times New Roman"/>
          <w:sz w:val="28"/>
          <w:szCs w:val="28"/>
        </w:rPr>
        <w:t>,</w:t>
      </w:r>
      <w:r w:rsidRPr="008B6805">
        <w:rPr>
          <w:rFonts w:ascii="Times New Roman" w:hAnsi="Times New Roman" w:cs="Times New Roman"/>
          <w:sz w:val="28"/>
          <w:szCs w:val="28"/>
        </w:rPr>
        <w:t xml:space="preserve"> анализ правоприменительной практики позволил выявить ряд вопросов, не урегулированных законодательно и требующих незамедлительного решения:</w:t>
      </w:r>
    </w:p>
    <w:p w:rsidR="0075012C" w:rsidRPr="008B6805" w:rsidRDefault="0075012C" w:rsidP="007501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</w:t>
      </w:r>
      <w:r w:rsidRPr="008B6805">
        <w:rPr>
          <w:rFonts w:ascii="Times New Roman" w:hAnsi="Times New Roman" w:cs="Times New Roman"/>
          <w:sz w:val="28"/>
          <w:szCs w:val="28"/>
        </w:rPr>
        <w:t xml:space="preserve">9 статьи 22 Закона о лицензировании до дня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 органам государственной власти субъектов Российской Федерации, </w:t>
      </w:r>
      <w:hyperlink r:id="rId7" w:history="1">
        <w:r w:rsidRPr="008B680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лицензирование</w:t>
        </w:r>
      </w:hyperlink>
      <w:r w:rsidRPr="008B6805">
        <w:rPr>
          <w:rFonts w:ascii="Times New Roman" w:hAnsi="Times New Roman" w:cs="Times New Roman"/>
          <w:sz w:val="28"/>
          <w:szCs w:val="28"/>
        </w:rPr>
        <w:t xml:space="preserve"> указанного вида деятельности осуществляют уполномоченные органы исполнительной власти субъектов Российской Федерации.</w:t>
      </w:r>
    </w:p>
    <w:p w:rsidR="00501A9F" w:rsidRPr="008B6805" w:rsidRDefault="00501A9F" w:rsidP="00501A9F">
      <w:pPr>
        <w:pStyle w:val="a7"/>
        <w:widowControl w:val="0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</w:rPr>
      </w:pPr>
      <w:r w:rsidRPr="008B6805">
        <w:rPr>
          <w:sz w:val="28"/>
          <w:szCs w:val="28"/>
        </w:rPr>
        <w:t xml:space="preserve">До настоящего времени федеральный закон </w:t>
      </w:r>
      <w:bookmarkStart w:id="3" w:name="OLE_LINK18"/>
      <w:bookmarkStart w:id="4" w:name="OLE_LINK19"/>
      <w:r w:rsidRPr="008B6805">
        <w:rPr>
          <w:sz w:val="28"/>
          <w:szCs w:val="28"/>
        </w:rPr>
        <w:t>о передаче полномочий в области лицензирования заготовки, хранения, переработки и реализации лома черных металлов, цветных металлов органам государственной власти субъектов Российской Федерации</w:t>
      </w:r>
      <w:bookmarkEnd w:id="3"/>
      <w:bookmarkEnd w:id="4"/>
      <w:r w:rsidRPr="008B6805">
        <w:rPr>
          <w:sz w:val="28"/>
          <w:szCs w:val="28"/>
        </w:rPr>
        <w:t xml:space="preserve"> не принят, соответственно, их финансирование не предусмотрено ни федеральным, ни региональными бюджетами, при этом фактически затраты на реализацию указанных полномочий производятся за счет региональных бюджетов.</w:t>
      </w:r>
    </w:p>
    <w:p w:rsidR="00501A9F" w:rsidRPr="008B6805" w:rsidRDefault="00501A9F" w:rsidP="00501A9F">
      <w:pPr>
        <w:pStyle w:val="a7"/>
        <w:widowControl w:val="0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 xml:space="preserve">Необходима разработка и утверждение федерального закона о передаче полномочий в области лицензирования заготовки, хранения, переработки и реализации лома черных металлов, цветных металлов </w:t>
      </w:r>
      <w:bookmarkStart w:id="5" w:name="OLE_LINK20"/>
      <w:bookmarkStart w:id="6" w:name="OLE_LINK21"/>
      <w:r w:rsidRPr="008B6805">
        <w:rPr>
          <w:sz w:val="28"/>
          <w:szCs w:val="28"/>
        </w:rPr>
        <w:t xml:space="preserve">органам государственной власти субъектов Российской Федерации </w:t>
      </w:r>
      <w:bookmarkEnd w:id="5"/>
      <w:bookmarkEnd w:id="6"/>
      <w:r w:rsidRPr="008B6805">
        <w:rPr>
          <w:sz w:val="28"/>
          <w:szCs w:val="28"/>
        </w:rPr>
        <w:t>и методики расчета субвенций на исполнение органами государственной власти субъектов Российской Федерации указанных федеральных полномочий.</w:t>
      </w:r>
    </w:p>
    <w:p w:rsidR="009E7E67" w:rsidRPr="008B6805" w:rsidRDefault="00B22E62" w:rsidP="00B22E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bCs/>
          <w:sz w:val="28"/>
          <w:szCs w:val="28"/>
        </w:rPr>
        <w:t>Размер государственной пошлины, установленный подпунктом</w:t>
      </w:r>
      <w:r w:rsidR="00C822F9" w:rsidRPr="008B6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805">
        <w:rPr>
          <w:rFonts w:ascii="Times New Roman" w:hAnsi="Times New Roman" w:cs="Times New Roman"/>
          <w:bCs/>
          <w:sz w:val="28"/>
          <w:szCs w:val="28"/>
        </w:rPr>
        <w:t>92</w:t>
      </w:r>
      <w:r w:rsidR="00C822F9" w:rsidRPr="008B6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805">
        <w:rPr>
          <w:rFonts w:ascii="Times New Roman" w:hAnsi="Times New Roman" w:cs="Times New Roman"/>
          <w:sz w:val="28"/>
          <w:szCs w:val="28"/>
        </w:rPr>
        <w:t xml:space="preserve">пункта 1 статьи 333.33 НК РФ, не зависит от количества адресов мест осуществления лицензируемого вида деятельности, указанных в заявлении о </w:t>
      </w:r>
      <w:r w:rsidRPr="008B68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(переоформлении) лицензии. При этом, в отдельных случаях соискателем лицензии (лицензиатом) заявляется большое количество адресов одновременно, что требует привлечения лицензирующим органом дополнительных </w:t>
      </w:r>
      <w:r w:rsidR="00045F91" w:rsidRPr="008B6805">
        <w:rPr>
          <w:rFonts w:ascii="Times New Roman" w:hAnsi="Times New Roman" w:cs="Times New Roman"/>
          <w:sz w:val="28"/>
          <w:szCs w:val="28"/>
        </w:rPr>
        <w:t>на проведение выездных проверок.</w:t>
      </w:r>
    </w:p>
    <w:p w:rsidR="00045F91" w:rsidRPr="008B6805" w:rsidRDefault="00045F91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целях повышения бюджетной эффективности лицензирования отдельных видов деятельности необходимо установить дифференцированный размер государственной пошлины за действия, связанные с осуществлением лицензирования и разрешительной деятельности, в зависимости от количества адресов, подлежащих проверке.</w:t>
      </w:r>
    </w:p>
    <w:p w:rsidR="00045F91" w:rsidRPr="008B6805" w:rsidRDefault="00045F91" w:rsidP="009E7E67">
      <w:pPr>
        <w:pStyle w:val="TimesNewRoman"/>
        <w:widowControl w:val="0"/>
        <w:shd w:val="clear" w:color="auto" w:fill="FFFFFF" w:themeFill="background1"/>
        <w:spacing w:after="0"/>
        <w:ind w:firstLine="709"/>
        <w:contextualSpacing/>
        <w:rPr>
          <w:rFonts w:cs="Times New Roman"/>
          <w:szCs w:val="28"/>
        </w:rPr>
      </w:pPr>
      <w:r w:rsidRPr="008B6805">
        <w:rPr>
          <w:rFonts w:cs="Times New Roman"/>
          <w:szCs w:val="28"/>
        </w:rPr>
        <w:t xml:space="preserve">Распространены случаи уклонения лицензиатов от проведения проверок. Основная причина – размер штрафа (от 5000 до 10000 рублей), предусмотренного статьей 19.4.1 КоАП РФ. Так, практика показывает, что для лицензиата «выгоднее» уклониться от проведения проверки, чем присутствовать при ее проведении в случаях допущения лицензиатом нарушений лицензионных требований. Снижению количества случаев уклонения от проведения проверок будет способствовать увеличение размера штрафов за указанное правонарушение. </w:t>
      </w:r>
    </w:p>
    <w:p w:rsidR="00B17E64" w:rsidRPr="008B6805" w:rsidRDefault="00B17E64" w:rsidP="00B17E64">
      <w:pPr>
        <w:pStyle w:val="a7"/>
        <w:widowControl w:val="0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B6805">
        <w:rPr>
          <w:sz w:val="28"/>
          <w:szCs w:val="28"/>
        </w:rPr>
        <w:t xml:space="preserve">Федеральным законом от 24 июня 1998 года № 89-ФЗ «Об отходах производства и потребления» и </w:t>
      </w:r>
      <w:r w:rsidRPr="008B6805">
        <w:rPr>
          <w:bCs/>
          <w:sz w:val="28"/>
          <w:szCs w:val="28"/>
        </w:rPr>
        <w:t>Правилами обращения с ломом и отходами цветных металлов предусмотрено только утверждение</w:t>
      </w:r>
      <w:r w:rsidRPr="008B6805">
        <w:rPr>
          <w:sz w:val="28"/>
          <w:szCs w:val="28"/>
          <w:shd w:val="clear" w:color="auto" w:fill="FFFFFF"/>
        </w:rPr>
        <w:t xml:space="preserve"> на уровне субъекта </w:t>
      </w:r>
      <w:r w:rsidRPr="008B6805">
        <w:rPr>
          <w:sz w:val="28"/>
          <w:szCs w:val="28"/>
        </w:rPr>
        <w:t>Российской Федерации</w:t>
      </w:r>
      <w:r w:rsidRPr="008B6805">
        <w:rPr>
          <w:sz w:val="28"/>
          <w:szCs w:val="28"/>
          <w:shd w:val="clear" w:color="auto" w:fill="FFFFFF"/>
        </w:rPr>
        <w:t xml:space="preserve"> перечня разрешенных для приема от физических лиц лома и отходов цветных металлов, образующихся в быту, и не предусмотрены ограничения приема промышленного лома и отходов черных и цветных металлов.</w:t>
      </w:r>
    </w:p>
    <w:p w:rsidR="00045F91" w:rsidRPr="008B6805" w:rsidRDefault="00045F91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09" w:rsidRPr="008B6805" w:rsidRDefault="005F1309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11AB" w:rsidRPr="008B6805" w:rsidTr="006811AB">
        <w:tc>
          <w:tcPr>
            <w:tcW w:w="9345" w:type="dxa"/>
          </w:tcPr>
          <w:p w:rsidR="006811AB" w:rsidRPr="008B6805" w:rsidRDefault="006811AB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осуществление лицензиров</w:t>
            </w:r>
            <w:r w:rsidR="00CA149D" w:rsidRPr="008B6805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видов деятельности</w:t>
            </w:r>
          </w:p>
        </w:tc>
      </w:tr>
    </w:tbl>
    <w:p w:rsidR="00947326" w:rsidRPr="008B6805" w:rsidRDefault="00947326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40" w:rsidRPr="008B6805" w:rsidRDefault="00FD6B40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А.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</w:r>
    </w:p>
    <w:p w:rsidR="00FD6B40" w:rsidRPr="008B6805" w:rsidRDefault="00FD6B40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40" w:rsidRPr="008B6805" w:rsidRDefault="00FD6B40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Полномочия по осуществлению лицензирования заготовки, хранения, переработки и реализации лома черных металлов, цветных металлов на территории Забайкальского края возложены на Министерство в соответствии с Положение</w:t>
      </w:r>
      <w:r w:rsidR="00E376CF" w:rsidRPr="008B6805">
        <w:rPr>
          <w:rFonts w:ascii="Times New Roman" w:hAnsi="Times New Roman" w:cs="Times New Roman"/>
          <w:sz w:val="28"/>
          <w:szCs w:val="28"/>
        </w:rPr>
        <w:t>м</w:t>
      </w:r>
      <w:r w:rsidRPr="008B6805">
        <w:rPr>
          <w:rFonts w:ascii="Times New Roman" w:hAnsi="Times New Roman" w:cs="Times New Roman"/>
          <w:sz w:val="28"/>
          <w:szCs w:val="28"/>
        </w:rPr>
        <w:t xml:space="preserve"> о Министерстве, утвержденном постановлением Правительства Забайкальского края от 27.12.2016 № 503. Лицензирование осуществляется должностными лицами отдела </w:t>
      </w:r>
      <w:r w:rsidR="00DE571D">
        <w:rPr>
          <w:rFonts w:ascii="Times New Roman" w:hAnsi="Times New Roman" w:cs="Times New Roman"/>
          <w:sz w:val="28"/>
          <w:szCs w:val="28"/>
        </w:rPr>
        <w:t>экологического надзора</w:t>
      </w:r>
      <w:r w:rsidR="001059FB" w:rsidRPr="008B680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B6805">
        <w:rPr>
          <w:rFonts w:ascii="Times New Roman" w:hAnsi="Times New Roman" w:cs="Times New Roman"/>
          <w:sz w:val="28"/>
          <w:szCs w:val="28"/>
        </w:rPr>
        <w:t>.</w:t>
      </w:r>
    </w:p>
    <w:p w:rsidR="007E405A" w:rsidRPr="008B6805" w:rsidRDefault="007E405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753" w:rsidRPr="008B6805" w:rsidRDefault="007E405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Б. Сведения об организации и осуществлении лицензирования конкретных видов деятельности, в том числе в электронной форме</w:t>
      </w:r>
    </w:p>
    <w:p w:rsidR="00942753" w:rsidRPr="008B6805" w:rsidRDefault="00942753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753" w:rsidRPr="008B6805" w:rsidRDefault="00942753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lastRenderedPageBreak/>
        <w:t>Осуществление лицензирования конкретного вида деятельности включает в себя следующие административные процедуры: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1) предоставление заявителю информации о государственной услуге;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2) прием </w:t>
      </w:r>
      <w:bookmarkStart w:id="7" w:name="OLE_LINK40"/>
      <w:r w:rsidRPr="008B6805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  <w:bookmarkEnd w:id="7"/>
      <w:r w:rsidRPr="008B680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3) предоставление заявителю сведений о ходе предоставления государственной услуги;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4) взаимодействие Министерства с иными органами государственной власти, органами местного самоуправления и организациями, участвующими в предоставлении государственной услуги;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5) принятие решения о предоставлении государственной услуги;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6) уведомление заявителя о принятом Министерством решении и направление (вручение) </w:t>
      </w:r>
      <w:bookmarkStart w:id="8" w:name="OLE_LINK37"/>
      <w:bookmarkStart w:id="9" w:name="OLE_LINK65"/>
      <w:r w:rsidRPr="008B6805"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bookmarkEnd w:id="8"/>
      <w:bookmarkEnd w:id="9"/>
      <w:r w:rsidRPr="008B6805">
        <w:rPr>
          <w:rFonts w:ascii="Times New Roman" w:hAnsi="Times New Roman" w:cs="Times New Roman"/>
          <w:sz w:val="28"/>
          <w:szCs w:val="28"/>
        </w:rPr>
        <w:t xml:space="preserve"> заявителю. </w:t>
      </w:r>
    </w:p>
    <w:p w:rsidR="00942753" w:rsidRPr="00222D66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В соответствии с Законом о лицензировании в случае, если взаимодействие лицензирующего органа и соискателя лицензии </w:t>
      </w:r>
      <w:r w:rsidR="00FE5F77" w:rsidRPr="008B6805">
        <w:rPr>
          <w:rFonts w:ascii="Times New Roman" w:hAnsi="Times New Roman" w:cs="Times New Roman"/>
          <w:sz w:val="28"/>
          <w:szCs w:val="28"/>
        </w:rPr>
        <w:t>(</w:t>
      </w:r>
      <w:r w:rsidRPr="008B6805">
        <w:rPr>
          <w:rFonts w:ascii="Times New Roman" w:hAnsi="Times New Roman" w:cs="Times New Roman"/>
          <w:sz w:val="28"/>
          <w:szCs w:val="28"/>
        </w:rPr>
        <w:t>лицензиата</w:t>
      </w:r>
      <w:r w:rsidR="00FE5F77" w:rsidRPr="008B6805">
        <w:rPr>
          <w:rFonts w:ascii="Times New Roman" w:hAnsi="Times New Roman" w:cs="Times New Roman"/>
          <w:sz w:val="28"/>
          <w:szCs w:val="28"/>
        </w:rPr>
        <w:t>)</w:t>
      </w:r>
      <w:r w:rsidRPr="008B6805">
        <w:rPr>
          <w:rFonts w:ascii="Times New Roman" w:hAnsi="Times New Roman" w:cs="Times New Roman"/>
          <w:sz w:val="28"/>
          <w:szCs w:val="28"/>
        </w:rPr>
        <w:t xml:space="preserve">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предусмотрено формирование лицензирующим органом лицензионного дела в форме электронного документа, подписанного электронной подписью (в соответствии с Федеральным законом от 28.07.2012 № 133-ФЗ «Об электронной подписи»). 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электронной подписью. На местах организовано получение заявлений и оказание государственной услуги по лицензированию в эле</w:t>
      </w:r>
      <w:r w:rsidR="00222D66">
        <w:rPr>
          <w:rFonts w:ascii="Times New Roman" w:hAnsi="Times New Roman" w:cs="Times New Roman"/>
          <w:sz w:val="28"/>
          <w:szCs w:val="28"/>
        </w:rPr>
        <w:t>ктронной форме</w:t>
      </w:r>
      <w:r w:rsidRPr="008B6805">
        <w:rPr>
          <w:rFonts w:ascii="Times New Roman" w:hAnsi="Times New Roman" w:cs="Times New Roman"/>
          <w:sz w:val="28"/>
          <w:szCs w:val="28"/>
        </w:rPr>
        <w:t>.</w:t>
      </w:r>
      <w:r w:rsidR="0022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F7" w:rsidRPr="008B6805" w:rsidRDefault="00960FF7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05A" w:rsidRPr="008B6805" w:rsidRDefault="007E405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В.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</w:t>
      </w:r>
      <w:r w:rsidR="00CE372D" w:rsidRPr="008B6805">
        <w:rPr>
          <w:rFonts w:ascii="Times New Roman" w:hAnsi="Times New Roman" w:cs="Times New Roman"/>
          <w:i/>
          <w:sz w:val="28"/>
          <w:szCs w:val="28"/>
        </w:rPr>
        <w:t>вета на межведомственный вопрос</w:t>
      </w:r>
    </w:p>
    <w:p w:rsidR="00CE372D" w:rsidRPr="008B6805" w:rsidRDefault="00CE372D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72D" w:rsidRPr="008B6805" w:rsidRDefault="00CE372D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В рамках исполнения Федерального закона от 27.07.2010 № 210-ФЗ «Об организации предоставления государственных и муниципальных услуг» Министерство при предоставлении соискателям лицензии (лицензиатам) государственной услуги по лицензированию </w:t>
      </w:r>
      <w:r w:rsidR="008B76F5" w:rsidRPr="008B6805">
        <w:rPr>
          <w:rFonts w:ascii="Times New Roman" w:hAnsi="Times New Roman" w:cs="Times New Roman"/>
          <w:sz w:val="28"/>
          <w:szCs w:val="28"/>
        </w:rPr>
        <w:t xml:space="preserve">заготовки, хранению, переработке и реализации лома черных металлов, цветных металлов (далее – государственная услуга) осуществляет межведомственное электронное взаимодействие с федеральными органами исполнительной власти, участвующими в предоставлении государственных услуг без участия заявителя. </w:t>
      </w:r>
    </w:p>
    <w:p w:rsidR="008B76F5" w:rsidRPr="008B6805" w:rsidRDefault="008B76F5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345548" w:rsidRPr="008B6805">
        <w:rPr>
          <w:rFonts w:ascii="Times New Roman" w:hAnsi="Times New Roman" w:cs="Times New Roman"/>
          <w:sz w:val="28"/>
          <w:szCs w:val="28"/>
        </w:rPr>
        <w:t>услуги Министерство взаимодействует с:</w:t>
      </w:r>
    </w:p>
    <w:p w:rsidR="00345548" w:rsidRPr="008B6805" w:rsidRDefault="003236D9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45548" w:rsidRPr="008B6805">
        <w:rPr>
          <w:rFonts w:ascii="Times New Roman" w:hAnsi="Times New Roman" w:cs="Times New Roman"/>
          <w:sz w:val="28"/>
          <w:szCs w:val="28"/>
        </w:rPr>
        <w:t>У</w:t>
      </w:r>
      <w:r w:rsidRPr="008B6805">
        <w:rPr>
          <w:rFonts w:ascii="Times New Roman" w:hAnsi="Times New Roman" w:cs="Times New Roman"/>
          <w:sz w:val="28"/>
          <w:szCs w:val="28"/>
        </w:rPr>
        <w:t>правление</w:t>
      </w:r>
      <w:r w:rsidR="002122DA" w:rsidRPr="008B6805">
        <w:rPr>
          <w:rFonts w:ascii="Times New Roman" w:hAnsi="Times New Roman" w:cs="Times New Roman"/>
          <w:sz w:val="28"/>
          <w:szCs w:val="28"/>
        </w:rPr>
        <w:t>м</w:t>
      </w:r>
      <w:r w:rsidRPr="008B6805">
        <w:rPr>
          <w:rFonts w:ascii="Times New Roman" w:hAnsi="Times New Roman" w:cs="Times New Roman"/>
          <w:sz w:val="28"/>
          <w:szCs w:val="28"/>
        </w:rPr>
        <w:t xml:space="preserve"> налоговой службы Росс</w:t>
      </w:r>
      <w:r w:rsidR="00345548" w:rsidRPr="008B6805">
        <w:rPr>
          <w:rFonts w:ascii="Times New Roman" w:hAnsi="Times New Roman" w:cs="Times New Roman"/>
          <w:sz w:val="28"/>
          <w:szCs w:val="28"/>
        </w:rPr>
        <w:t xml:space="preserve">ии по Забайкальскому краю </w:t>
      </w:r>
      <w:r w:rsidRPr="008B6805">
        <w:rPr>
          <w:rFonts w:ascii="Times New Roman" w:hAnsi="Times New Roman" w:cs="Times New Roman"/>
          <w:sz w:val="28"/>
          <w:szCs w:val="28"/>
        </w:rPr>
        <w:t xml:space="preserve">в целях получения сведений, подтверждающих факт внесения сведений о </w:t>
      </w:r>
      <w:r w:rsidR="00E95144" w:rsidRPr="008B6805">
        <w:rPr>
          <w:rFonts w:ascii="Times New Roman" w:hAnsi="Times New Roman" w:cs="Times New Roman"/>
          <w:sz w:val="28"/>
          <w:szCs w:val="28"/>
        </w:rPr>
        <w:t xml:space="preserve">соискателе лицензии (лицензиате) </w:t>
      </w:r>
      <w:r w:rsidR="001059FB" w:rsidRPr="008B6805">
        <w:rPr>
          <w:rFonts w:ascii="Times New Roman" w:hAnsi="Times New Roman" w:cs="Times New Roman"/>
          <w:sz w:val="28"/>
          <w:szCs w:val="28"/>
        </w:rPr>
        <w:t xml:space="preserve">в </w:t>
      </w:r>
      <w:r w:rsidR="001107EA" w:rsidRPr="008B6805">
        <w:rPr>
          <w:rFonts w:ascii="Times New Roman" w:hAnsi="Times New Roman" w:cs="Times New Roman"/>
          <w:sz w:val="28"/>
          <w:szCs w:val="28"/>
        </w:rPr>
        <w:t>ЕГРЮЛ</w:t>
      </w:r>
      <w:r w:rsidR="00E95144" w:rsidRPr="008B6805">
        <w:rPr>
          <w:rFonts w:ascii="Times New Roman" w:hAnsi="Times New Roman" w:cs="Times New Roman"/>
          <w:sz w:val="28"/>
          <w:szCs w:val="28"/>
        </w:rPr>
        <w:t xml:space="preserve"> (</w:t>
      </w:r>
      <w:r w:rsidR="001107EA" w:rsidRPr="008B6805">
        <w:rPr>
          <w:rFonts w:ascii="Times New Roman" w:hAnsi="Times New Roman" w:cs="Times New Roman"/>
          <w:sz w:val="28"/>
          <w:szCs w:val="28"/>
        </w:rPr>
        <w:t>ЕГРИП</w:t>
      </w:r>
      <w:r w:rsidR="00E95144" w:rsidRPr="008B6805">
        <w:rPr>
          <w:rFonts w:ascii="Times New Roman" w:hAnsi="Times New Roman" w:cs="Times New Roman"/>
          <w:sz w:val="28"/>
          <w:szCs w:val="28"/>
        </w:rPr>
        <w:t>), а также факт постановки заявителя на налоговый учет;</w:t>
      </w:r>
    </w:p>
    <w:p w:rsidR="00E95144" w:rsidRPr="008B6805" w:rsidRDefault="00E9514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2) Управление</w:t>
      </w:r>
      <w:r w:rsidR="002122DA" w:rsidRPr="008B6805">
        <w:rPr>
          <w:rFonts w:ascii="Times New Roman" w:hAnsi="Times New Roman" w:cs="Times New Roman"/>
          <w:sz w:val="28"/>
          <w:szCs w:val="28"/>
        </w:rPr>
        <w:t>м</w:t>
      </w:r>
      <w:r w:rsidRPr="008B680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Забайкальскому краю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="00815A90" w:rsidRPr="008B6805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815A90" w:rsidRPr="008B68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815A90" w:rsidRPr="008B6805">
        <w:rPr>
          <w:rFonts w:ascii="Times New Roman" w:hAnsi="Times New Roman" w:cs="Times New Roman"/>
          <w:sz w:val="28"/>
          <w:szCs w:val="28"/>
        </w:rPr>
        <w:t xml:space="preserve">) </w:t>
      </w:r>
      <w:r w:rsidR="0047466E" w:rsidRPr="008B6805">
        <w:rPr>
          <w:rFonts w:ascii="Times New Roman" w:hAnsi="Times New Roman" w:cs="Times New Roman"/>
          <w:sz w:val="28"/>
          <w:szCs w:val="28"/>
        </w:rPr>
        <w:t>в целях получения информации о внесении в Единый государственный реестр прав на недвижимое имущество и сделок с ним</w:t>
      </w:r>
      <w:r w:rsidR="00D95760" w:rsidRPr="008B6805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сведений о наличии у заявителя необходимых для осуществления лицензируемого вида деятельности и принадлежащих ему на праве собственности или ином законно</w:t>
      </w:r>
      <w:r w:rsidR="001059FB" w:rsidRPr="008B6805">
        <w:rPr>
          <w:rFonts w:ascii="Times New Roman" w:hAnsi="Times New Roman" w:cs="Times New Roman"/>
          <w:sz w:val="28"/>
          <w:szCs w:val="28"/>
        </w:rPr>
        <w:t>м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основании земельных участков, зданий, строений, сооружений и помещений (единой обособленной части зданий, строений, сооружений и помещений)</w:t>
      </w:r>
      <w:r w:rsidR="00E46AD4" w:rsidRPr="008B6805">
        <w:rPr>
          <w:rFonts w:ascii="Times New Roman" w:hAnsi="Times New Roman" w:cs="Times New Roman"/>
          <w:sz w:val="28"/>
          <w:szCs w:val="28"/>
        </w:rPr>
        <w:t>;</w:t>
      </w: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3) </w:t>
      </w:r>
      <w:r w:rsidR="002122DA" w:rsidRPr="008B6805">
        <w:rPr>
          <w:rFonts w:ascii="Times New Roman" w:hAnsi="Times New Roman" w:cs="Times New Roman"/>
          <w:sz w:val="28"/>
          <w:szCs w:val="28"/>
        </w:rPr>
        <w:t>Управлением по вопросам миграции УМВД России по Забайкальскому краю в целях получения сведени</w:t>
      </w:r>
      <w:r w:rsidR="001174FE" w:rsidRPr="008B6805">
        <w:rPr>
          <w:rFonts w:ascii="Times New Roman" w:hAnsi="Times New Roman" w:cs="Times New Roman"/>
          <w:sz w:val="28"/>
          <w:szCs w:val="28"/>
        </w:rPr>
        <w:t>й</w:t>
      </w:r>
      <w:r w:rsidR="002122DA" w:rsidRPr="008B6805">
        <w:rPr>
          <w:rFonts w:ascii="Times New Roman" w:hAnsi="Times New Roman" w:cs="Times New Roman"/>
          <w:sz w:val="28"/>
          <w:szCs w:val="28"/>
        </w:rPr>
        <w:t xml:space="preserve"> о действительности документа, удостоверяющего личность гражданина Российской Федерации;</w:t>
      </w:r>
    </w:p>
    <w:p w:rsidR="002122DA" w:rsidRPr="008B6805" w:rsidRDefault="002122D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4) Управлением </w:t>
      </w:r>
      <w:r w:rsidR="001174FE" w:rsidRPr="008B6805">
        <w:rPr>
          <w:rFonts w:ascii="Times New Roman" w:hAnsi="Times New Roman" w:cs="Times New Roman"/>
          <w:sz w:val="28"/>
          <w:szCs w:val="28"/>
        </w:rPr>
        <w:t>Федерального казначейства по Забайкальскому краю в целях получения сведений</w:t>
      </w:r>
      <w:r w:rsidRPr="008B6805">
        <w:rPr>
          <w:rFonts w:ascii="Times New Roman" w:hAnsi="Times New Roman" w:cs="Times New Roman"/>
          <w:sz w:val="28"/>
          <w:szCs w:val="28"/>
        </w:rPr>
        <w:t xml:space="preserve"> о подтверждении уплаты госпошлины.</w:t>
      </w:r>
    </w:p>
    <w:p w:rsidR="0047466E" w:rsidRPr="008B6805" w:rsidRDefault="001174FE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Срок направления межведомственного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8B6805">
        <w:rPr>
          <w:rFonts w:ascii="Times New Roman" w:hAnsi="Times New Roman" w:cs="Times New Roman"/>
          <w:sz w:val="28"/>
          <w:szCs w:val="28"/>
        </w:rPr>
        <w:t>а и ответа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составляет от </w:t>
      </w:r>
      <w:r w:rsidRPr="008B6805">
        <w:rPr>
          <w:rFonts w:ascii="Times New Roman" w:hAnsi="Times New Roman" w:cs="Times New Roman"/>
          <w:sz w:val="28"/>
          <w:szCs w:val="28"/>
        </w:rPr>
        <w:t>одного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до</w:t>
      </w:r>
      <w:r w:rsidR="00222D66">
        <w:rPr>
          <w:rFonts w:ascii="Times New Roman" w:hAnsi="Times New Roman" w:cs="Times New Roman"/>
          <w:sz w:val="28"/>
          <w:szCs w:val="28"/>
        </w:rPr>
        <w:t xml:space="preserve"> пяти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E3504" w:rsidRPr="008B6805" w:rsidRDefault="006E350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504" w:rsidRPr="008B6805" w:rsidRDefault="006E350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Г. 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</w:r>
    </w:p>
    <w:p w:rsidR="006E3504" w:rsidRPr="008B6805" w:rsidRDefault="006E350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504" w:rsidRPr="008B6805" w:rsidRDefault="00222D66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E46AD4" w:rsidRPr="008B680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1E2C">
        <w:rPr>
          <w:rFonts w:ascii="Times New Roman" w:hAnsi="Times New Roman" w:cs="Times New Roman"/>
          <w:sz w:val="28"/>
          <w:szCs w:val="28"/>
        </w:rPr>
        <w:t>поступило восемь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46AD4" w:rsidRPr="008B680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от соискателей лицензии (лицензиатов) в электронной форме.</w:t>
      </w: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Д.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E67" w:rsidRPr="008B6805" w:rsidRDefault="00A83EFB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Количественные показатели лицензионного контроля деятельности по заготовке, хранению, переработке и реализации лома черных м</w:t>
      </w:r>
      <w:r w:rsidR="00222D66">
        <w:rPr>
          <w:rFonts w:ascii="Times New Roman" w:hAnsi="Times New Roman" w:cs="Times New Roman"/>
          <w:sz w:val="28"/>
          <w:szCs w:val="28"/>
        </w:rPr>
        <w:t>еталлов, цветных металлов в 2022</w:t>
      </w:r>
      <w:r w:rsidRPr="008B6805">
        <w:rPr>
          <w:rFonts w:ascii="Times New Roman" w:hAnsi="Times New Roman" w:cs="Times New Roman"/>
          <w:sz w:val="28"/>
          <w:szCs w:val="28"/>
        </w:rPr>
        <w:t xml:space="preserve"> году представлены в таблице 1:</w:t>
      </w:r>
    </w:p>
    <w:p w:rsidR="00F367D5" w:rsidRPr="008B6805" w:rsidRDefault="00F367D5" w:rsidP="009E7E67">
      <w:pPr>
        <w:keepNext/>
        <w:widowControl w:val="0"/>
        <w:shd w:val="clear" w:color="auto" w:fill="FFFFFF" w:themeFill="background1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7E67" w:rsidRPr="008B6805">
        <w:rPr>
          <w:rFonts w:ascii="Times New Roman" w:hAnsi="Times New Roman" w:cs="Times New Roman"/>
          <w:sz w:val="28"/>
          <w:szCs w:val="28"/>
        </w:rPr>
        <w:t xml:space="preserve">№ </w:t>
      </w:r>
      <w:r w:rsidRPr="008B6805">
        <w:rPr>
          <w:rFonts w:ascii="Times New Roman" w:hAnsi="Times New Roman" w:cs="Times New Roman"/>
          <w:sz w:val="28"/>
          <w:szCs w:val="28"/>
        </w:rPr>
        <w:t xml:space="preserve">1 </w:t>
      </w: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2"/>
        <w:gridCol w:w="1482"/>
        <w:gridCol w:w="1482"/>
      </w:tblGrid>
      <w:tr w:rsidR="008B6805" w:rsidRPr="008B6805" w:rsidTr="008E6645">
        <w:trPr>
          <w:jc w:val="center"/>
        </w:trPr>
        <w:tc>
          <w:tcPr>
            <w:tcW w:w="6592" w:type="dxa"/>
          </w:tcPr>
          <w:p w:rsidR="00F367D5" w:rsidRPr="008B6805" w:rsidRDefault="00F367D5" w:rsidP="009E7E67">
            <w:pPr>
              <w:keepNext/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67D5" w:rsidRPr="008B6805" w:rsidRDefault="00222D66" w:rsidP="009E7E67">
            <w:pPr>
              <w:keepNext/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2" w:type="dxa"/>
            <w:shd w:val="clear" w:color="auto" w:fill="FFFFFF" w:themeFill="background1"/>
          </w:tcPr>
          <w:p w:rsidR="00F367D5" w:rsidRPr="008B6805" w:rsidRDefault="00222D66" w:rsidP="009E7E67">
            <w:pPr>
              <w:keepNext/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77345846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Количество лицензий на начало года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Количество лицензий на конец года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082DFC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Выдано лицензий</w:t>
            </w:r>
          </w:p>
        </w:tc>
        <w:tc>
          <w:tcPr>
            <w:tcW w:w="1482" w:type="dxa"/>
          </w:tcPr>
          <w:p w:rsidR="00486334" w:rsidRPr="00A44543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A44543" w:rsidRDefault="00DB19DB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изменений в реестр лицензий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7173D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Аннулировано лицензий, прекращено действие лицензий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.: в связи с окончанием срока действия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546C50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лицензиата о досрочном прекращении действия лицензии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546C50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B04FC0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r w:rsidR="00B04FC0">
              <w:rPr>
                <w:rFonts w:ascii="Times New Roman" w:hAnsi="Times New Roman" w:cs="Times New Roman"/>
                <w:sz w:val="24"/>
                <w:szCs w:val="24"/>
              </w:rPr>
              <w:t>внесением изменений в реестр лицензий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связи с ликвидацией юридического лица, прекращения физическим лицом деятельности в качестве индивидуального предпринимателя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0"/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проверок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2E0340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Рассмотрено заявлений о предоставлении лицензии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372E87" w:rsidRDefault="00DF1E2C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них количество заявлений, по которым отказано в предоставлении лицензий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372E87" w:rsidRDefault="006C6547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(в процессе проверки)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tabs>
                <w:tab w:val="left" w:pos="315"/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372E87" w:rsidRDefault="006C6547" w:rsidP="00486334">
            <w:pPr>
              <w:widowControl w:val="0"/>
              <w:shd w:val="clear" w:color="auto" w:fill="FFFFFF" w:themeFill="background1"/>
              <w:tabs>
                <w:tab w:val="left" w:pos="315"/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861A82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заявлений о </w:t>
            </w:r>
            <w:r w:rsidR="00861A82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372E87" w:rsidRDefault="00DF1E2C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B04FC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них количество з</w:t>
            </w:r>
            <w:r w:rsidR="00B04FC0">
              <w:rPr>
                <w:rFonts w:ascii="Times New Roman" w:hAnsi="Times New Roman" w:cs="Times New Roman"/>
                <w:sz w:val="24"/>
                <w:szCs w:val="24"/>
              </w:rPr>
              <w:t xml:space="preserve">аявлений, по которым отказано во внесении изменений в реестр 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372E87" w:rsidRDefault="007173D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переходящие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(в процессе проверки)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6C6547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 (госпошлина), тыс. руб.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E03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6805" w:rsidRPr="008B6805" w:rsidTr="008E6645">
        <w:trPr>
          <w:jc w:val="center"/>
        </w:trPr>
        <w:tc>
          <w:tcPr>
            <w:tcW w:w="9556" w:type="dxa"/>
            <w:gridSpan w:val="3"/>
          </w:tcPr>
          <w:p w:rsidR="00486334" w:rsidRPr="008B6805" w:rsidRDefault="00486334" w:rsidP="006C6547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проверок соискателей лицензий, лицензиатов (связанных с заявлениями о предоставлении, </w:t>
            </w:r>
            <w:r w:rsidR="00B04FC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6547" w:rsidRPr="006C6547">
              <w:rPr>
                <w:rFonts w:ascii="Times New Roman" w:hAnsi="Times New Roman" w:cs="Times New Roman"/>
                <w:sz w:val="24"/>
                <w:szCs w:val="24"/>
              </w:rPr>
              <w:t>предоставлении сведений о конкретной лицензии</w:t>
            </w:r>
            <w:r w:rsidRPr="006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77345870"/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документарных</w:t>
            </w:r>
            <w:proofErr w:type="gramEnd"/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2" w:type="dxa"/>
          </w:tcPr>
          <w:p w:rsidR="00486334" w:rsidRPr="007173D2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486334" w:rsidRPr="007173D2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11"/>
      <w:tr w:rsidR="008B6805" w:rsidRPr="008B6805" w:rsidTr="008E6645">
        <w:trPr>
          <w:jc w:val="center"/>
        </w:trPr>
        <w:tc>
          <w:tcPr>
            <w:tcW w:w="9556" w:type="dxa"/>
            <w:gridSpan w:val="3"/>
          </w:tcPr>
          <w:p w:rsidR="00486334" w:rsidRPr="008B6805" w:rsidRDefault="00486334" w:rsidP="00B04FC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проверок лицензиатов (кроме проверок, связанных с заявлениями лицензиатов о продлении срока действия, </w:t>
            </w:r>
            <w:r w:rsidR="00B04FC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6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6547" w:rsidRPr="006C6547">
              <w:rPr>
                <w:rFonts w:ascii="Times New Roman" w:hAnsi="Times New Roman" w:cs="Times New Roman"/>
                <w:sz w:val="24"/>
                <w:szCs w:val="24"/>
              </w:rPr>
              <w:t>предоставлении сведений о конкретной лицензии)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77345879"/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tabs>
                <w:tab w:val="left" w:pos="225"/>
                <w:tab w:val="center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tabs>
                <w:tab w:val="left" w:pos="225"/>
                <w:tab w:val="center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них: плановых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2"/>
      <w:tr w:rsidR="008B6805" w:rsidRPr="008B6805" w:rsidTr="008E6645">
        <w:trPr>
          <w:jc w:val="center"/>
        </w:trPr>
        <w:tc>
          <w:tcPr>
            <w:tcW w:w="9556" w:type="dxa"/>
            <w:gridSpan w:val="3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проверок: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к  административной ответственности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к  административной ответственности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 приостановлении деятельности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отозвано</w:t>
            </w:r>
            <w:proofErr w:type="gramEnd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Проведено проверок прокуратурой Забайкальского края с привлечением должностных лиц Министерства</w:t>
            </w:r>
          </w:p>
        </w:tc>
        <w:tc>
          <w:tcPr>
            <w:tcW w:w="1482" w:type="dxa"/>
          </w:tcPr>
          <w:p w:rsidR="00486334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9866B3" w:rsidRPr="008B6805" w:rsidRDefault="009866B3" w:rsidP="009866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Принято участие в проверках прокуратуры в качестве лица, обладающего специальными знаниями</w:t>
            </w:r>
          </w:p>
        </w:tc>
        <w:tc>
          <w:tcPr>
            <w:tcW w:w="1482" w:type="dxa"/>
          </w:tcPr>
          <w:p w:rsidR="009866B3" w:rsidRPr="008B6805" w:rsidRDefault="00222D66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FFFFFF" w:themeFill="background1"/>
          </w:tcPr>
          <w:p w:rsidR="009866B3" w:rsidRPr="008B6805" w:rsidRDefault="00861A82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67D5" w:rsidRPr="008B6805" w:rsidRDefault="00F367D5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Е.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</w: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A" w:rsidRPr="008B6805" w:rsidRDefault="001143AA" w:rsidP="009E7E67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На осуществление лицензирования деятельности по заготовке, хранению, переработке и реализации лома черных металлов, цветных металлов должностными регламентами в 202</w:t>
      </w:r>
      <w:r w:rsidR="00861A82">
        <w:rPr>
          <w:rFonts w:ascii="Times New Roman" w:hAnsi="Times New Roman" w:cs="Times New Roman"/>
          <w:sz w:val="28"/>
          <w:szCs w:val="28"/>
        </w:rPr>
        <w:t>2</w:t>
      </w:r>
      <w:r w:rsidRPr="008B6805">
        <w:rPr>
          <w:rFonts w:ascii="Times New Roman" w:hAnsi="Times New Roman" w:cs="Times New Roman"/>
          <w:sz w:val="28"/>
          <w:szCs w:val="28"/>
        </w:rPr>
        <w:t xml:space="preserve"> году были уполномочены 3 </w:t>
      </w:r>
      <w:r w:rsidRPr="008B6805">
        <w:rPr>
          <w:rFonts w:ascii="Times New Roman" w:hAnsi="Times New Roman" w:cs="Times New Roman"/>
          <w:sz w:val="28"/>
          <w:szCs w:val="28"/>
        </w:rPr>
        <w:lastRenderedPageBreak/>
        <w:t>сотрудника Министерства. Обучение, переобучение и повышение квалификации должностных лиц Министерства, осуществляющих лицензирование, в 202</w:t>
      </w:r>
      <w:r w:rsidR="00861A82">
        <w:rPr>
          <w:rFonts w:ascii="Times New Roman" w:hAnsi="Times New Roman" w:cs="Times New Roman"/>
          <w:sz w:val="28"/>
          <w:szCs w:val="28"/>
        </w:rPr>
        <w:t>2</w:t>
      </w:r>
      <w:r w:rsidRPr="008B6805">
        <w:rPr>
          <w:rFonts w:ascii="Times New Roman" w:hAnsi="Times New Roman" w:cs="Times New Roman"/>
          <w:sz w:val="28"/>
          <w:szCs w:val="28"/>
        </w:rPr>
        <w:t xml:space="preserve"> году не проводилось.</w:t>
      </w: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Ж.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190564" w:rsidRPr="008B6805" w:rsidRDefault="0019056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564" w:rsidRPr="008B6805" w:rsidRDefault="00190564" w:rsidP="009E7E67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В целях предотвращения лицензиатами нарушений лицензионных требований, должностными лицами Министерства проводятся мероприятия по предоставлению информации об обновлении нормативно-правовых актов в сфере лицензирования, а также консультирование юридических и физических лиц по вопросам лицензирования данного вида деятельности. </w:t>
      </w:r>
    </w:p>
    <w:p w:rsidR="00190564" w:rsidRPr="008B6805" w:rsidRDefault="00190564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</w:t>
      </w:r>
      <w:hyperlink r:id="rId8" w:history="1">
        <w:r w:rsidR="00186A85" w:rsidRPr="008B68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https://minprir.75.ru</w:t>
        </w:r>
      </w:hyperlink>
      <w:r w:rsidR="00186A85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Pr="008B6805">
        <w:rPr>
          <w:rFonts w:ascii="Times New Roman" w:hAnsi="Times New Roman" w:cs="Times New Roman"/>
          <w:sz w:val="28"/>
          <w:szCs w:val="28"/>
        </w:rPr>
        <w:t>(Деятельность/Лицензирование деятельности по заготовке, хранению, переработке и реализации лома черных металлов, цветных металлов)</w:t>
      </w:r>
      <w:r w:rsidR="00186A85" w:rsidRPr="008B6805">
        <w:rPr>
          <w:rFonts w:ascii="Times New Roman" w:hAnsi="Times New Roman" w:cs="Times New Roman"/>
          <w:sz w:val="28"/>
          <w:szCs w:val="28"/>
        </w:rPr>
        <w:t xml:space="preserve"> размещены нормативные правовые акты регламентирующие соблюдение лицензионных требований в сфере заготовки, хранения, переработки и реализации лома черных металлов, цветных металлов.</w:t>
      </w:r>
    </w:p>
    <w:p w:rsidR="00190564" w:rsidRPr="008B6805" w:rsidRDefault="00190564" w:rsidP="009E7E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7326" w:rsidRPr="008B6805" w:rsidRDefault="00947326" w:rsidP="009E7E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291E" w:rsidRPr="008B6805" w:rsidTr="0089291E">
        <w:tc>
          <w:tcPr>
            <w:tcW w:w="9345" w:type="dxa"/>
          </w:tcPr>
          <w:p w:rsidR="0089291E" w:rsidRPr="008B6805" w:rsidRDefault="0089291E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3. Организация деятельности по контролю за осущес</w:t>
            </w:r>
            <w:r w:rsidR="000B67EC" w:rsidRPr="008B6805">
              <w:rPr>
                <w:rFonts w:ascii="Times New Roman" w:hAnsi="Times New Roman" w:cs="Times New Roman"/>
                <w:sz w:val="28"/>
                <w:szCs w:val="28"/>
              </w:rPr>
              <w:t>твлением переданных субъектам Российской Федерации полномочий по лицензированию</w:t>
            </w:r>
          </w:p>
        </w:tc>
      </w:tr>
    </w:tbl>
    <w:p w:rsidR="00947326" w:rsidRPr="008B6805" w:rsidRDefault="00947326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219" w:rsidRPr="008B6805" w:rsidRDefault="004A7219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соответствии с частью 9 статьи 22 Федерального закона от 04.05.2011 №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99-ФЗ «О лицензировании отдельных видов деятельности» до дня вступления в силу Федерального закон</w:t>
      </w:r>
      <w:r w:rsidR="00DB0397" w:rsidRPr="008B6805">
        <w:rPr>
          <w:rFonts w:ascii="Times New Roman" w:hAnsi="Times New Roman" w:cs="Times New Roman"/>
          <w:sz w:val="28"/>
          <w:szCs w:val="28"/>
        </w:rPr>
        <w:t>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металлов, лицензирование указанного вида деятельности осуществляют уполномоченные органы исполнительной власти субъектов Российской Федерации.</w:t>
      </w:r>
    </w:p>
    <w:p w:rsidR="009E0C82" w:rsidRPr="008B6805" w:rsidRDefault="009E0C82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26" w:rsidRPr="008B6805" w:rsidRDefault="00947326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D09" w:rsidRPr="008B6805" w:rsidTr="00381D09">
        <w:tc>
          <w:tcPr>
            <w:tcW w:w="9345" w:type="dxa"/>
          </w:tcPr>
          <w:p w:rsidR="00381D09" w:rsidRPr="008B6805" w:rsidRDefault="00381D09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4. Анализ и оценка эффективности лицензирования конкретных видов деятельности</w:t>
            </w:r>
          </w:p>
        </w:tc>
      </w:tr>
    </w:tbl>
    <w:p w:rsidR="00947326" w:rsidRPr="008B6805" w:rsidRDefault="00947326" w:rsidP="009E7E67">
      <w:pPr>
        <w:keepNext/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7C3" w:rsidRPr="00372E87" w:rsidRDefault="00B017C3" w:rsidP="009E7E67">
      <w:pPr>
        <w:keepNext/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E87">
        <w:rPr>
          <w:rFonts w:ascii="Times New Roman" w:hAnsi="Times New Roman" w:cs="Times New Roman"/>
          <w:i/>
          <w:sz w:val="28"/>
          <w:szCs w:val="28"/>
        </w:rPr>
        <w:t>А. Показатели эффективности лицензирования отдельных видов деятельности (значения указанных показателей за отчетный год анализируется в сравнении со значениями показателей за предшествующий год, и в случае существенного (более 10 %) отклонения этих значений в отчетном году указываются причины таких отклонений</w:t>
      </w:r>
    </w:p>
    <w:p w:rsidR="00B017C3" w:rsidRPr="008B6805" w:rsidRDefault="00B017C3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D09" w:rsidRPr="008B6805" w:rsidRDefault="009E7E67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   </w:t>
      </w:r>
      <w:r w:rsidR="00381D09" w:rsidRPr="008B680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B6805">
        <w:rPr>
          <w:rFonts w:ascii="Times New Roman" w:hAnsi="Times New Roman" w:cs="Times New Roman"/>
          <w:sz w:val="28"/>
          <w:szCs w:val="28"/>
        </w:rPr>
        <w:t xml:space="preserve">№ </w:t>
      </w:r>
      <w:r w:rsidR="00381D09" w:rsidRPr="008B680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5"/>
        <w:gridCol w:w="992"/>
        <w:gridCol w:w="992"/>
        <w:gridCol w:w="1163"/>
      </w:tblGrid>
      <w:tr w:rsidR="008B6805" w:rsidRPr="008B6805" w:rsidTr="00E376CF">
        <w:tc>
          <w:tcPr>
            <w:tcW w:w="567" w:type="dxa"/>
            <w:shd w:val="clear" w:color="auto" w:fill="auto"/>
          </w:tcPr>
          <w:p w:rsidR="00381D09" w:rsidRPr="008B6805" w:rsidRDefault="00E376CF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5" w:type="dxa"/>
            <w:shd w:val="clear" w:color="auto" w:fill="auto"/>
          </w:tcPr>
          <w:p w:rsidR="00381D09" w:rsidRPr="008B6805" w:rsidRDefault="00381D09" w:rsidP="009E7E67">
            <w:pPr>
              <w:widowControl w:val="0"/>
              <w:spacing w:after="0" w:line="240" w:lineRule="auto"/>
              <w:ind w:firstLine="1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381D09" w:rsidRPr="008B6805" w:rsidRDefault="00F12593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A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1D09" w:rsidRPr="008B6805" w:rsidRDefault="005005FD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A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  <w:shd w:val="clear" w:color="auto" w:fill="auto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F637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и (или) заявлений о предоставлении, </w:t>
            </w:r>
            <w:r w:rsidR="00F6371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, продлении срока действия лицензии, прекращении действия </w:t>
            </w:r>
            <w:r w:rsidRPr="006C6547">
              <w:rPr>
                <w:rFonts w:ascii="Times New Roman" w:hAnsi="Times New Roman" w:cs="Times New Roman"/>
                <w:sz w:val="24"/>
                <w:szCs w:val="24"/>
              </w:rPr>
              <w:t xml:space="preserve">лицензии, о </w:t>
            </w:r>
            <w:r w:rsidR="006C6547" w:rsidRPr="006C6547">
              <w:rPr>
                <w:rFonts w:ascii="Times New Roman" w:hAnsi="Times New Roman" w:cs="Times New Roman"/>
                <w:sz w:val="24"/>
                <w:szCs w:val="24"/>
              </w:rPr>
              <w:t>предоставлении сведений о конкретной лицензии)</w:t>
            </w:r>
            <w:r w:rsidRPr="006C6547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лицензирующим органом в электронной форме,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61A82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DF1E2C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861A82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F637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и (или) заявлений о предоставлении, </w:t>
            </w:r>
            <w:r w:rsidR="00F6371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, продлении срока действия лицензии, прекращении действия лицензии, </w:t>
            </w:r>
            <w:r w:rsidRPr="006C65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C6547" w:rsidRPr="006C6547">
              <w:rPr>
                <w:rFonts w:ascii="Times New Roman" w:hAnsi="Times New Roman" w:cs="Times New Roman"/>
                <w:sz w:val="24"/>
                <w:szCs w:val="24"/>
              </w:rPr>
              <w:t>предоставлении сведений о конкретной лицензии)</w:t>
            </w:r>
            <w:r w:rsidRPr="006C6547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лицензирующим органом на бумажном носителе,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61A82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DF1E2C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3713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-21,6</w:t>
            </w:r>
            <w:r w:rsidR="004B1313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в законодательстве)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F637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 об отказе в предоставлении, </w:t>
            </w:r>
            <w:r w:rsidR="00F6371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% от общего количества принятых решений о предоставлении, </w:t>
            </w:r>
            <w:r w:rsidR="00F6371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Средний срок рассмотрения заявления о предоставлении лицензии, дни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61A82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61A82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861A82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4B1313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в законодательстве)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заявлений о предоставлении лицензии, рассмотренных в установленные законодательством Российской Федерации сроки (в % от общего числа заявлений соответственно)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52701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F637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рассмотрения заявлений о </w:t>
            </w:r>
            <w:r w:rsidR="00F6371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или продлении срока действия лицензии (в случаях, если продление срока действия лицензии предусмотрено законодательством Российской Федерации), дни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61A82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61A82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85469D" w:rsidP="002176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4B1313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в законодательстве)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F637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 </w:t>
            </w:r>
            <w:r w:rsidR="00F6371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реестр лицензий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или продлении срока действия лицензии (в 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% от общего числа заявлений)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% от общего числа заявлений лицензирующего органа, направленных в органы прокуратуры)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решений с</w:t>
            </w:r>
            <w:r w:rsidR="00217684" w:rsidRPr="008B6805">
              <w:rPr>
                <w:rFonts w:ascii="Times New Roman" w:hAnsi="Times New Roman" w:cs="Times New Roman"/>
                <w:sz w:val="24"/>
                <w:szCs w:val="24"/>
              </w:rPr>
              <w:t>уда об удовлетворении заявлений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лицензирующего органа об административном приостановлении деятельности лицензиата (в %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проверок, проведенных лицензирующим органом, результаты которых признаны недействительными (в % от общего числа проведенных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результатам, выявления которых к должностным лицам применены меры дисциплинарного и административного наказания (в % от общего числа проведенных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лицензиатов, в отношении которых лицензирующим органом были проведены проверки (в % от общего количества лицензиатов)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5469D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5469D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85469D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ли</w:t>
            </w:r>
            <w:r w:rsidR="00046CFD" w:rsidRPr="008B6805">
              <w:rPr>
                <w:rFonts w:ascii="Times New Roman" w:hAnsi="Times New Roman" w:cs="Times New Roman"/>
                <w:sz w:val="24"/>
                <w:szCs w:val="24"/>
              </w:rPr>
              <w:t>цензиата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381D09" w:rsidRPr="008B6805" w:rsidRDefault="0085469D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:rsidR="00381D09" w:rsidRPr="008B6805" w:rsidRDefault="0085469D" w:rsidP="00F67E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381D09" w:rsidRPr="008B6805" w:rsidRDefault="0085469D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итогам которых выявлены правонарушения (в % от общего числа проведенных плановых и внеплановых проверок) 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5469D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85469D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Количество грубых нарушений лицензионных требований, выявленных по результатам проверок лицензиатов, 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по результатам проверок (по видам вреда), 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% от общего числа проверок, по итогам которых выявлены правонарушения)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предписаний, выданных в рамках лицензионного контроля, не исполненных после истечения срока, ус</w:t>
            </w:r>
            <w:r w:rsidR="0085469D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тановленного в предписаниях (в 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%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(уплаченных) административных штрафов к общей сумме наложенных административных штрафов,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штрафа, в том числе на должностных лиц и юридических лиц, в тыс.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проведенных внеплановых проверок (в % от общего количества проведенных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737FDD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нарушений лицензионных требований, выявленных по результатам проведения внеплановых проверок (в % от общего числа правонарушений, выявленных по результатам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лицензиатов, в деятельности которых выявлены нарушения по результатам проведения проверок (в % от общей численности проверенных лиц)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40361E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26395B">
        <w:trPr>
          <w:trHeight w:val="2012"/>
        </w:trPr>
        <w:tc>
          <w:tcPr>
            <w:tcW w:w="567" w:type="dxa"/>
            <w:shd w:val="clear" w:color="auto" w:fill="FFFFFF" w:themeFill="background1"/>
          </w:tcPr>
          <w:p w:rsidR="00E37A7F" w:rsidRPr="008B6805" w:rsidRDefault="00E37A7F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25" w:type="dxa"/>
            <w:shd w:val="clear" w:color="auto" w:fill="FFFFFF" w:themeFill="background1"/>
          </w:tcPr>
          <w:p w:rsidR="00E37A7F" w:rsidRPr="006C6547" w:rsidRDefault="00E37A7F" w:rsidP="0026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540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решений, принятых лицензирующим органом по результатам рассмотрения заявлений о представлении, продлении срока действия, </w:t>
            </w:r>
            <w:r w:rsidR="0026395B" w:rsidRPr="00071540">
              <w:rPr>
                <w:rFonts w:ascii="Times New Roman" w:hAnsi="Times New Roman" w:cs="Times New Roman"/>
                <w:sz w:val="24"/>
                <w:szCs w:val="24"/>
              </w:rPr>
              <w:t>внесений изменений в реестр лицензий</w:t>
            </w:r>
            <w:r w:rsidRPr="00071540">
              <w:rPr>
                <w:rFonts w:ascii="Times New Roman" w:hAnsi="Times New Roman" w:cs="Times New Roman"/>
                <w:sz w:val="24"/>
                <w:szCs w:val="24"/>
              </w:rPr>
              <w:t xml:space="preserve">, прекращении действия, а также о </w:t>
            </w:r>
            <w:r w:rsidR="006C6547" w:rsidRPr="00071540">
              <w:rPr>
                <w:rFonts w:ascii="Times New Roman" w:hAnsi="Times New Roman" w:cs="Times New Roman"/>
                <w:sz w:val="24"/>
                <w:szCs w:val="24"/>
              </w:rPr>
              <w:t>предоставлении сведений о конкретной лицензии</w:t>
            </w:r>
            <w:r w:rsidRPr="00071540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предоставленных заявителю в электронной форме (в % от общего количества заявлений)</w:t>
            </w:r>
          </w:p>
        </w:tc>
        <w:tc>
          <w:tcPr>
            <w:tcW w:w="992" w:type="dxa"/>
            <w:shd w:val="clear" w:color="auto" w:fill="FFFFFF" w:themeFill="background1"/>
          </w:tcPr>
          <w:p w:rsidR="00E37A7F" w:rsidRPr="008B6805" w:rsidRDefault="00E37A7F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37A7F" w:rsidRPr="008B6805" w:rsidRDefault="008A3C9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</w:tcPr>
          <w:p w:rsidR="00E37A7F" w:rsidRPr="008B6805" w:rsidRDefault="00E37A7F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2C0" w:rsidRPr="008B6805" w:rsidRDefault="002162C0" w:rsidP="00E37A7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C82" w:rsidRDefault="00406380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 xml:space="preserve">Б. Наиболее распространённые причины отказа в предоставлении лицензии, </w:t>
      </w:r>
      <w:r w:rsidR="0026395B">
        <w:rPr>
          <w:rFonts w:ascii="Times New Roman" w:hAnsi="Times New Roman" w:cs="Times New Roman"/>
          <w:i/>
          <w:sz w:val="28"/>
          <w:szCs w:val="28"/>
        </w:rPr>
        <w:t>внесении изменений в реестр лицензий</w:t>
      </w:r>
      <w:r w:rsidRPr="008B6805">
        <w:rPr>
          <w:rFonts w:ascii="Times New Roman" w:hAnsi="Times New Roman" w:cs="Times New Roman"/>
          <w:i/>
          <w:sz w:val="28"/>
          <w:szCs w:val="28"/>
        </w:rPr>
        <w:t>, продлении срока действия лицензии в случаях, предусмотренных законодательством Российской Федерации</w:t>
      </w:r>
    </w:p>
    <w:p w:rsidR="004B1313" w:rsidRPr="008B6805" w:rsidRDefault="004B1313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C82" w:rsidRPr="0026395B" w:rsidRDefault="004B1313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6380" w:rsidRPr="008B6805">
        <w:rPr>
          <w:rFonts w:ascii="Times New Roman" w:hAnsi="Times New Roman" w:cs="Times New Roman"/>
          <w:sz w:val="28"/>
          <w:szCs w:val="28"/>
        </w:rPr>
        <w:t>ричины отказа в предоставлении</w:t>
      </w:r>
      <w:r w:rsidR="00E37A7F" w:rsidRPr="008B6805">
        <w:rPr>
          <w:rFonts w:ascii="Times New Roman" w:hAnsi="Times New Roman" w:cs="Times New Roman"/>
          <w:sz w:val="28"/>
          <w:szCs w:val="28"/>
        </w:rPr>
        <w:t xml:space="preserve"> (</w:t>
      </w:r>
      <w:r w:rsidR="0026395B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 w:rsidR="00E37A7F" w:rsidRPr="008B6805">
        <w:rPr>
          <w:rFonts w:ascii="Times New Roman" w:hAnsi="Times New Roman" w:cs="Times New Roman"/>
          <w:sz w:val="28"/>
          <w:szCs w:val="28"/>
        </w:rPr>
        <w:t>)</w:t>
      </w:r>
      <w:r w:rsidR="00406380" w:rsidRPr="008B6805">
        <w:rPr>
          <w:rFonts w:ascii="Times New Roman" w:hAnsi="Times New Roman" w:cs="Times New Roman"/>
          <w:sz w:val="28"/>
          <w:szCs w:val="28"/>
        </w:rPr>
        <w:t xml:space="preserve"> лицензии: предоставление недостоверных сведений, несоответствие соискателей лицензий</w:t>
      </w:r>
      <w:r w:rsidR="00737FDD" w:rsidRPr="008B6805">
        <w:rPr>
          <w:rFonts w:ascii="Times New Roman" w:hAnsi="Times New Roman" w:cs="Times New Roman"/>
          <w:sz w:val="28"/>
          <w:szCs w:val="28"/>
        </w:rPr>
        <w:t xml:space="preserve"> (</w:t>
      </w:r>
      <w:r w:rsidR="00406380" w:rsidRPr="008B6805">
        <w:rPr>
          <w:rFonts w:ascii="Times New Roman" w:hAnsi="Times New Roman" w:cs="Times New Roman"/>
          <w:sz w:val="28"/>
          <w:szCs w:val="28"/>
        </w:rPr>
        <w:t>лицензиатов</w:t>
      </w:r>
      <w:r w:rsidR="00737FDD" w:rsidRPr="008B6805">
        <w:rPr>
          <w:rFonts w:ascii="Times New Roman" w:hAnsi="Times New Roman" w:cs="Times New Roman"/>
          <w:sz w:val="28"/>
          <w:szCs w:val="28"/>
        </w:rPr>
        <w:t>)</w:t>
      </w:r>
      <w:r w:rsidR="00406380" w:rsidRPr="008B6805">
        <w:rPr>
          <w:rFonts w:ascii="Times New Roman" w:hAnsi="Times New Roman" w:cs="Times New Roman"/>
          <w:sz w:val="28"/>
          <w:szCs w:val="28"/>
        </w:rPr>
        <w:t xml:space="preserve"> лицензионным требованиям, выявленные в ходе документарных и (или) выездных проверок. </w:t>
      </w:r>
    </w:p>
    <w:p w:rsidR="009E0C82" w:rsidRPr="008B6805" w:rsidRDefault="009E0C82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6380" w:rsidRPr="008B6805" w:rsidRDefault="00406380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В. Наиболее распространённые нарушения, приведших к вынесению административных наказаний, приостановлению действия лицензии и аннулирования лицензии</w:t>
      </w:r>
    </w:p>
    <w:p w:rsidR="009E0C82" w:rsidRPr="008B6805" w:rsidRDefault="009E0C82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657" w:rsidRPr="008B6805" w:rsidRDefault="00406380" w:rsidP="009E7E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нарушениями, приведшими к вынесению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наказания, являлись нарушения лицензионных требований и условий,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действовавшими в отчетный период Положением о лицензировании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части:</w:t>
      </w:r>
    </w:p>
    <w:p w:rsidR="00406380" w:rsidRPr="008B6805" w:rsidRDefault="00406380" w:rsidP="009E7E67">
      <w:pPr>
        <w:shd w:val="clear" w:color="auto" w:fill="FFFFFF"/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proofErr w:type="gramEnd"/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или на ином законном основании земельного участка,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сооружений, оборудования, инвентаря, технической документации, необходимых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лицензируемой деятельности и соответствующих установленным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406380" w:rsidRPr="008B6805" w:rsidRDefault="00406380" w:rsidP="005D5A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proofErr w:type="gramEnd"/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лицензиатом Правил обращения с ломом и отходами черных металлов</w:t>
      </w:r>
      <w:r w:rsidR="00D95760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цветных металлов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отчуждения, утвержденных в соответствии со статьей 13.1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15" w:rsidRPr="008B6805">
        <w:rPr>
          <w:rFonts w:ascii="Times New Roman" w:hAnsi="Times New Roman" w:cs="Times New Roman"/>
          <w:sz w:val="28"/>
          <w:szCs w:val="28"/>
        </w:rPr>
        <w:t>Федеральным законом от 24 июня 1998 года № 89-ФЗ «Об отходах производства и потребления»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380" w:rsidRPr="008B6805" w:rsidRDefault="00406380" w:rsidP="009E7E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решения об административном приостановлении действия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лицензий, выданных на данный вид деятельности, Арбитражным судом 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принимались, и заявления об аннулировании лицензий 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Арбитражный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не направлялись.</w:t>
      </w:r>
    </w:p>
    <w:p w:rsidR="00406380" w:rsidRPr="008B6805" w:rsidRDefault="00406380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380" w:rsidRPr="008B6805" w:rsidRDefault="00BA2657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Г. Наиболее существенные случаи причинения вреда жизни и здоровью граждан, животным, расте</w:t>
      </w:r>
      <w:r w:rsidR="0022436C" w:rsidRPr="008B6805">
        <w:rPr>
          <w:rFonts w:ascii="Times New Roman" w:hAnsi="Times New Roman" w:cs="Times New Roman"/>
          <w:i/>
          <w:sz w:val="28"/>
          <w:szCs w:val="28"/>
        </w:rPr>
        <w:t>ниям, окружающей среде, объектам</w:t>
      </w:r>
      <w:r w:rsidRPr="008B6805">
        <w:rPr>
          <w:rFonts w:ascii="Times New Roman" w:hAnsi="Times New Roman" w:cs="Times New Roman"/>
          <w:i/>
          <w:sz w:val="28"/>
          <w:szCs w:val="28"/>
        </w:rPr>
        <w:t xml:space="preserve"> культурного наследия </w:t>
      </w:r>
      <w:r w:rsidR="0022436C" w:rsidRPr="008B6805">
        <w:rPr>
          <w:rFonts w:ascii="Times New Roman" w:hAnsi="Times New Roman" w:cs="Times New Roman"/>
          <w:i/>
          <w:sz w:val="28"/>
          <w:szCs w:val="28"/>
        </w:rPr>
        <w:t>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:rsidR="00BD48FB" w:rsidRPr="008B6805" w:rsidRDefault="00BD48FB" w:rsidP="009E7E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0067" w:rsidRPr="008B6805" w:rsidRDefault="00030067" w:rsidP="009E7E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причинения вреда жиз</w:t>
      </w:r>
      <w:r w:rsidR="00BD48FB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 здоровью граждан, животным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растениям,</w:t>
      </w:r>
      <w:r w:rsidR="00BD48FB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среде, объектам культурного наследия (памятникам истории и культуры)</w:t>
      </w:r>
      <w:r w:rsidR="00BD48FB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Российской Федерации, имуществу физических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юридических лиц,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государства, а также возникновения чрезвычайных ситуаций техногенного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произошедших по причине нарушения лицензионных требований при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деятельности по заготовке, хранению, переработке и реализации лома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760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металлов,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263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ветных металлов, в 2022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406380" w:rsidRPr="008B6805" w:rsidRDefault="00406380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30D" w:rsidRPr="008B6805" w:rsidRDefault="008B4785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 xml:space="preserve">Е. Сведений об оспаривании в суде оснований и результатов проведения лицензирующими органами мероприятий по контролю за деятельностью лицензиатов, </w:t>
      </w:r>
      <w:r w:rsidR="00422875" w:rsidRPr="008B6805">
        <w:rPr>
          <w:rFonts w:ascii="Times New Roman" w:hAnsi="Times New Roman" w:cs="Times New Roman"/>
          <w:i/>
          <w:sz w:val="28"/>
          <w:szCs w:val="28"/>
        </w:rPr>
        <w:t>сведений об оспаривании результатов рассмотрения заявлений лицензиатов (количество удовлетворенных судов исков, наиболее распространенные основания для удовлетворения обращений истцов, меры реагирования, принятые в отношении должностных лиц лицензирующих органов)</w:t>
      </w:r>
    </w:p>
    <w:p w:rsidR="00947326" w:rsidRPr="0026395B" w:rsidRDefault="0040361E" w:rsidP="002639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5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85469D" w:rsidRPr="0026395B">
        <w:rPr>
          <w:rFonts w:ascii="Times New Roman" w:hAnsi="Times New Roman" w:cs="Times New Roman"/>
          <w:sz w:val="28"/>
          <w:szCs w:val="28"/>
        </w:rPr>
        <w:t xml:space="preserve"> Арбитражным судом</w:t>
      </w:r>
      <w:r w:rsidR="00002AD8" w:rsidRPr="0026395B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85469D" w:rsidRPr="0026395B">
        <w:rPr>
          <w:rFonts w:ascii="Times New Roman" w:hAnsi="Times New Roman" w:cs="Times New Roman"/>
          <w:sz w:val="28"/>
          <w:szCs w:val="28"/>
        </w:rPr>
        <w:t>удовлетворено</w:t>
      </w:r>
      <w:r w:rsidR="00002AD8" w:rsidRPr="0026395B">
        <w:rPr>
          <w:rFonts w:ascii="Times New Roman" w:hAnsi="Times New Roman" w:cs="Times New Roman"/>
          <w:sz w:val="28"/>
          <w:szCs w:val="28"/>
        </w:rPr>
        <w:t xml:space="preserve"> </w:t>
      </w:r>
      <w:r w:rsidR="0070000A" w:rsidRPr="0026395B">
        <w:rPr>
          <w:rFonts w:ascii="Times New Roman" w:hAnsi="Times New Roman" w:cs="Times New Roman"/>
          <w:sz w:val="28"/>
          <w:szCs w:val="28"/>
        </w:rPr>
        <w:t xml:space="preserve">1 </w:t>
      </w:r>
      <w:r w:rsidR="0085469D" w:rsidRPr="0026395B">
        <w:rPr>
          <w:rFonts w:ascii="Times New Roman" w:hAnsi="Times New Roman" w:cs="Times New Roman"/>
          <w:sz w:val="28"/>
          <w:szCs w:val="28"/>
        </w:rPr>
        <w:t>заявление лицензиата</w:t>
      </w:r>
      <w:r w:rsidR="0070000A" w:rsidRPr="0026395B">
        <w:rPr>
          <w:rFonts w:ascii="Times New Roman" w:hAnsi="Times New Roman" w:cs="Times New Roman"/>
          <w:sz w:val="28"/>
          <w:szCs w:val="28"/>
        </w:rPr>
        <w:t xml:space="preserve"> об </w:t>
      </w:r>
      <w:r w:rsidR="00002AD8" w:rsidRPr="0026395B">
        <w:rPr>
          <w:rFonts w:ascii="Times New Roman" w:hAnsi="Times New Roman" w:cs="Times New Roman"/>
          <w:sz w:val="28"/>
          <w:szCs w:val="28"/>
        </w:rPr>
        <w:t>о</w:t>
      </w:r>
      <w:r w:rsidR="0070000A" w:rsidRPr="0026395B">
        <w:rPr>
          <w:rFonts w:ascii="Times New Roman" w:hAnsi="Times New Roman" w:cs="Times New Roman"/>
          <w:sz w:val="28"/>
          <w:szCs w:val="28"/>
        </w:rPr>
        <w:t>спаривании</w:t>
      </w:r>
      <w:r w:rsidR="00537CFB" w:rsidRPr="0026395B">
        <w:rPr>
          <w:rFonts w:ascii="Times New Roman" w:hAnsi="Times New Roman" w:cs="Times New Roman"/>
          <w:sz w:val="28"/>
          <w:szCs w:val="28"/>
        </w:rPr>
        <w:t xml:space="preserve"> </w:t>
      </w:r>
      <w:r w:rsidR="00ED4D14" w:rsidRPr="0026395B">
        <w:rPr>
          <w:rFonts w:ascii="Times New Roman" w:hAnsi="Times New Roman" w:cs="Times New Roman"/>
          <w:sz w:val="28"/>
          <w:szCs w:val="28"/>
        </w:rPr>
        <w:t>ре</w:t>
      </w:r>
      <w:r w:rsidRPr="0026395B">
        <w:rPr>
          <w:rFonts w:ascii="Times New Roman" w:hAnsi="Times New Roman" w:cs="Times New Roman"/>
          <w:sz w:val="28"/>
          <w:szCs w:val="28"/>
        </w:rPr>
        <w:t>зультатов рассмотрения заявления лицензиата</w:t>
      </w:r>
      <w:r w:rsidR="0085469D" w:rsidRPr="0026395B">
        <w:rPr>
          <w:rFonts w:ascii="Times New Roman" w:hAnsi="Times New Roman" w:cs="Times New Roman"/>
          <w:sz w:val="28"/>
          <w:szCs w:val="28"/>
        </w:rPr>
        <w:t xml:space="preserve"> поступившее в 2021 году</w:t>
      </w:r>
      <w:r w:rsidR="00537CFB" w:rsidRPr="00263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CFB" w:rsidRPr="008B6805" w:rsidRDefault="00537CFB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18F" w:rsidRPr="008B6805" w:rsidTr="0005118F">
        <w:tc>
          <w:tcPr>
            <w:tcW w:w="9345" w:type="dxa"/>
          </w:tcPr>
          <w:p w:rsidR="0005118F" w:rsidRPr="008B6805" w:rsidRDefault="0005118F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Выводы </w:t>
            </w:r>
            <w:r w:rsidR="001964FE" w:rsidRPr="008B6805">
              <w:rPr>
                <w:rFonts w:ascii="Times New Roman" w:hAnsi="Times New Roman" w:cs="Times New Roman"/>
                <w:sz w:val="28"/>
                <w:szCs w:val="28"/>
              </w:rPr>
              <w:t>и предложения по осуществлению лицензирования конкретных видов деятельности</w:t>
            </w:r>
          </w:p>
        </w:tc>
      </w:tr>
    </w:tbl>
    <w:p w:rsidR="00947326" w:rsidRPr="008B6805" w:rsidRDefault="00947326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BC" w:rsidRPr="008B6805" w:rsidRDefault="000646BC" w:rsidP="006F00AE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Анализ вышеуказанных сведений и результатов мо</w:t>
      </w:r>
      <w:r w:rsidR="0085469D">
        <w:rPr>
          <w:rFonts w:ascii="Times New Roman" w:hAnsi="Times New Roman" w:cs="Times New Roman"/>
          <w:sz w:val="28"/>
          <w:szCs w:val="28"/>
        </w:rPr>
        <w:t>ниторинга лицензирования за 2022</w:t>
      </w:r>
      <w:r w:rsidRPr="008B6805">
        <w:rPr>
          <w:rFonts w:ascii="Times New Roman" w:hAnsi="Times New Roman" w:cs="Times New Roman"/>
          <w:sz w:val="28"/>
          <w:szCs w:val="28"/>
        </w:rPr>
        <w:t xml:space="preserve"> год показывает, что предоставление Министерством государственной услуги по лицензированию деятельности по заготовке, хранению, переработке и реализации лома черных металлов, цветных металлов осуществлялось в соответствии с требованиями действующего законодательства Российской Федерации и Забайкальского края.</w:t>
      </w:r>
    </w:p>
    <w:p w:rsidR="000646BC" w:rsidRPr="008B6805" w:rsidRDefault="000646BC" w:rsidP="006F00AE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Должностные лица Министерства осуществляли лицензирование деятельности по заготовке, хранению, переработке и реализации лома черных металлов, цветных металлов и лицензионный контроль в соответствии с требованиями, установленными действующим законодательством Российской Федерации и Забайкальского края, административными и должностными регламентами. </w:t>
      </w:r>
    </w:p>
    <w:p w:rsidR="000646BC" w:rsidRPr="008B6805" w:rsidRDefault="000646BC" w:rsidP="006F00AE">
      <w:pPr>
        <w:pStyle w:val="TimesNewRoman"/>
        <w:widowControl w:val="0"/>
        <w:shd w:val="clear" w:color="auto" w:fill="FFFFFF" w:themeFill="background1"/>
        <w:spacing w:after="0"/>
        <w:ind w:firstLine="720"/>
        <w:rPr>
          <w:rFonts w:cs="Times New Roman"/>
          <w:szCs w:val="28"/>
        </w:rPr>
      </w:pPr>
      <w:r w:rsidRPr="008B6805">
        <w:rPr>
          <w:rFonts w:eastAsia="Calibri" w:cs="Times New Roman"/>
          <w:szCs w:val="28"/>
        </w:rPr>
        <w:t>В целях повышения эффективности осуществления лицензирования Министерство природных ресурсов Забайкальского края вносит следующие предложения.</w:t>
      </w:r>
    </w:p>
    <w:p w:rsidR="00F85457" w:rsidRPr="008B6805" w:rsidRDefault="00F85457" w:rsidP="006F00AE">
      <w:pPr>
        <w:pStyle w:val="a7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>Разработать и утвердить федеральный закон о передаче полномочий в области лицензирования заготовки, хранения, переработки и реализации лома черных металлов, цветных металлов органам государственной власти субъектов Российской Федерации и методику расчета субвенций на исполнение органами государственной власти субъектов Российской Федерации указанных федеральных полномочий.</w:t>
      </w:r>
    </w:p>
    <w:p w:rsidR="001F1AF1" w:rsidRPr="008B6805" w:rsidRDefault="00C822F9" w:rsidP="006F00AE">
      <w:pPr>
        <w:pStyle w:val="a7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>Внести изменения в подпункт 92 пункта</w:t>
      </w:r>
      <w:r w:rsidR="000646BC" w:rsidRPr="008B6805">
        <w:rPr>
          <w:sz w:val="28"/>
          <w:szCs w:val="28"/>
        </w:rPr>
        <w:t xml:space="preserve"> 1 ст. 333.33 КоАП РФ в части установления дифференцированного размера государственной пошлины за действия, связанные с осуществлением лицензирования и разрешительной деятельности, в зависимости от количества адресов, </w:t>
      </w:r>
      <w:r w:rsidR="000646BC" w:rsidRPr="008B6805">
        <w:rPr>
          <w:sz w:val="28"/>
          <w:szCs w:val="28"/>
        </w:rPr>
        <w:lastRenderedPageBreak/>
        <w:t>подлежащих проверке.</w:t>
      </w:r>
    </w:p>
    <w:p w:rsidR="000646BC" w:rsidRPr="008B6805" w:rsidRDefault="000646BC" w:rsidP="006F00AE">
      <w:pPr>
        <w:pStyle w:val="a7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>Внести изменения в КоАП РФ в части:</w:t>
      </w:r>
    </w:p>
    <w:p w:rsidR="000646BC" w:rsidRPr="008B6805" w:rsidRDefault="000646BC" w:rsidP="006F00AE">
      <w:pPr>
        <w:pStyle w:val="TimesNewRoman"/>
        <w:widowControl w:val="0"/>
        <w:shd w:val="clear" w:color="auto" w:fill="FFFFFF" w:themeFill="background1"/>
        <w:spacing w:after="0"/>
        <w:ind w:firstLine="720"/>
        <w:rPr>
          <w:rFonts w:cs="Times New Roman"/>
          <w:szCs w:val="28"/>
        </w:rPr>
      </w:pPr>
      <w:proofErr w:type="gramStart"/>
      <w:r w:rsidRPr="008B6805">
        <w:rPr>
          <w:rFonts w:cs="Times New Roman"/>
          <w:szCs w:val="28"/>
        </w:rPr>
        <w:t>увеличения</w:t>
      </w:r>
      <w:proofErr w:type="gramEnd"/>
      <w:r w:rsidRPr="008B6805">
        <w:rPr>
          <w:rFonts w:cs="Times New Roman"/>
          <w:szCs w:val="28"/>
        </w:rPr>
        <w:t xml:space="preserve"> размера штрафов за уклонение юридических лиц и индивидуальных предпринимателей от проведения проверок;</w:t>
      </w:r>
    </w:p>
    <w:p w:rsidR="000646BC" w:rsidRPr="008B6805" w:rsidRDefault="000646BC" w:rsidP="006F00AE">
      <w:pPr>
        <w:pStyle w:val="TimesNewRoman"/>
        <w:widowControl w:val="0"/>
        <w:shd w:val="clear" w:color="auto" w:fill="FFFFFF" w:themeFill="background1"/>
        <w:spacing w:after="0"/>
        <w:ind w:firstLine="720"/>
        <w:rPr>
          <w:rFonts w:cs="Times New Roman"/>
          <w:szCs w:val="28"/>
        </w:rPr>
      </w:pPr>
      <w:proofErr w:type="gramStart"/>
      <w:r w:rsidRPr="008B6805">
        <w:rPr>
          <w:rFonts w:cs="Times New Roman"/>
          <w:szCs w:val="28"/>
        </w:rPr>
        <w:t>увеличения</w:t>
      </w:r>
      <w:proofErr w:type="gramEnd"/>
      <w:r w:rsidRPr="008B6805">
        <w:rPr>
          <w:rFonts w:cs="Times New Roman"/>
          <w:szCs w:val="28"/>
        </w:rPr>
        <w:t xml:space="preserve"> размера штрафов за нарушение лицензионных требований (части 3, 4 статьи 14.1) и осуществление лицензируемого вида деятельности без</w:t>
      </w:r>
      <w:r w:rsidR="00A9225B" w:rsidRPr="008B6805">
        <w:rPr>
          <w:rFonts w:cs="Times New Roman"/>
          <w:szCs w:val="28"/>
        </w:rPr>
        <w:t xml:space="preserve"> лицензии (часть 2 статьи 14.1);</w:t>
      </w:r>
    </w:p>
    <w:p w:rsidR="00A9225B" w:rsidRPr="008B6805" w:rsidRDefault="00A9225B" w:rsidP="006F00AE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Утвердить на федеральном уровне перечень запрещенных для приема от физических лиц лома и отходов черных и цветных металлов </w:t>
      </w:r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перечень разрешенных для приема от физических лиц лома и отходов черных и цветных металлов</w:t>
      </w:r>
      <w:r w:rsidRPr="008B6805">
        <w:rPr>
          <w:rFonts w:ascii="Times New Roman" w:hAnsi="Times New Roman" w:cs="Times New Roman"/>
          <w:sz w:val="28"/>
          <w:szCs w:val="28"/>
        </w:rPr>
        <w:t>.</w:t>
      </w:r>
    </w:p>
    <w:p w:rsidR="001F1AF1" w:rsidRPr="008B6805" w:rsidRDefault="001F1AF1" w:rsidP="006F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25B" w:rsidRPr="008B6805" w:rsidRDefault="00A9225B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B4E" w:rsidRPr="008B6805" w:rsidRDefault="00667B4E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B4E" w:rsidRPr="008B6805" w:rsidRDefault="00537CFB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Министр</w:t>
      </w:r>
      <w:r w:rsidR="00667B4E" w:rsidRPr="008B6805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</w:p>
    <w:p w:rsidR="00667B4E" w:rsidRPr="008B6805" w:rsidRDefault="00667B4E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Забайкальский край                          </w:t>
      </w:r>
      <w:r w:rsidR="00876A2F" w:rsidRPr="008B68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6805">
        <w:rPr>
          <w:rFonts w:ascii="Times New Roman" w:hAnsi="Times New Roman" w:cs="Times New Roman"/>
          <w:sz w:val="28"/>
          <w:szCs w:val="28"/>
        </w:rPr>
        <w:t xml:space="preserve">       </w:t>
      </w:r>
      <w:r w:rsidR="007B3F29" w:rsidRPr="008B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7326" w:rsidRPr="008B6805">
        <w:rPr>
          <w:rFonts w:ascii="Times New Roman" w:hAnsi="Times New Roman" w:cs="Times New Roman"/>
          <w:sz w:val="28"/>
          <w:szCs w:val="28"/>
        </w:rPr>
        <w:t xml:space="preserve">      </w:t>
      </w:r>
      <w:r w:rsidR="00F80983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="00C95EA2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="00F80983" w:rsidRPr="008B68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805">
        <w:rPr>
          <w:rFonts w:ascii="Times New Roman" w:hAnsi="Times New Roman" w:cs="Times New Roman"/>
          <w:sz w:val="28"/>
          <w:szCs w:val="28"/>
        </w:rPr>
        <w:t xml:space="preserve">  </w:t>
      </w:r>
      <w:r w:rsidR="00537CFB" w:rsidRPr="008B6805">
        <w:rPr>
          <w:rFonts w:ascii="Times New Roman" w:hAnsi="Times New Roman" w:cs="Times New Roman"/>
          <w:sz w:val="28"/>
          <w:szCs w:val="28"/>
        </w:rPr>
        <w:t>С.И. Немков</w:t>
      </w:r>
    </w:p>
    <w:sectPr w:rsidR="00667B4E" w:rsidRPr="008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076"/>
    <w:multiLevelType w:val="hybridMultilevel"/>
    <w:tmpl w:val="63702632"/>
    <w:lvl w:ilvl="0" w:tplc="2FF2C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93AA4"/>
    <w:multiLevelType w:val="hybridMultilevel"/>
    <w:tmpl w:val="397A8E32"/>
    <w:lvl w:ilvl="0" w:tplc="8650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331FF"/>
    <w:multiLevelType w:val="hybridMultilevel"/>
    <w:tmpl w:val="829C060A"/>
    <w:lvl w:ilvl="0" w:tplc="52B8C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421FD"/>
    <w:multiLevelType w:val="hybridMultilevel"/>
    <w:tmpl w:val="280E0DB4"/>
    <w:lvl w:ilvl="0" w:tplc="F0D4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41"/>
    <w:rsid w:val="00002AD8"/>
    <w:rsid w:val="00030067"/>
    <w:rsid w:val="00037182"/>
    <w:rsid w:val="00045F91"/>
    <w:rsid w:val="00046CFD"/>
    <w:rsid w:val="0005118F"/>
    <w:rsid w:val="000646BC"/>
    <w:rsid w:val="00071540"/>
    <w:rsid w:val="000825B3"/>
    <w:rsid w:val="00082DFC"/>
    <w:rsid w:val="00090F37"/>
    <w:rsid w:val="00094F8B"/>
    <w:rsid w:val="000B67EC"/>
    <w:rsid w:val="000F087D"/>
    <w:rsid w:val="001059FB"/>
    <w:rsid w:val="001060EC"/>
    <w:rsid w:val="001107EA"/>
    <w:rsid w:val="001143AA"/>
    <w:rsid w:val="001174FA"/>
    <w:rsid w:val="001174FE"/>
    <w:rsid w:val="00186A85"/>
    <w:rsid w:val="00190564"/>
    <w:rsid w:val="001964FE"/>
    <w:rsid w:val="001A314B"/>
    <w:rsid w:val="001B347F"/>
    <w:rsid w:val="001F1AF1"/>
    <w:rsid w:val="002122DA"/>
    <w:rsid w:val="002162C0"/>
    <w:rsid w:val="00217684"/>
    <w:rsid w:val="00222D66"/>
    <w:rsid w:val="0022436C"/>
    <w:rsid w:val="00234A3D"/>
    <w:rsid w:val="0026395B"/>
    <w:rsid w:val="0027148F"/>
    <w:rsid w:val="002845EC"/>
    <w:rsid w:val="00285F50"/>
    <w:rsid w:val="002A71A1"/>
    <w:rsid w:val="002C3CC1"/>
    <w:rsid w:val="002D6A38"/>
    <w:rsid w:val="002E0340"/>
    <w:rsid w:val="002E424E"/>
    <w:rsid w:val="002E4861"/>
    <w:rsid w:val="00304211"/>
    <w:rsid w:val="003236D9"/>
    <w:rsid w:val="00340656"/>
    <w:rsid w:val="00345548"/>
    <w:rsid w:val="0037174A"/>
    <w:rsid w:val="00372E87"/>
    <w:rsid w:val="00374552"/>
    <w:rsid w:val="00381D09"/>
    <w:rsid w:val="003E0068"/>
    <w:rsid w:val="0040361E"/>
    <w:rsid w:val="00406380"/>
    <w:rsid w:val="004103A1"/>
    <w:rsid w:val="00422875"/>
    <w:rsid w:val="0047466E"/>
    <w:rsid w:val="00486334"/>
    <w:rsid w:val="004A7219"/>
    <w:rsid w:val="004B1313"/>
    <w:rsid w:val="004C282B"/>
    <w:rsid w:val="004F1E9E"/>
    <w:rsid w:val="005005FD"/>
    <w:rsid w:val="00501A9F"/>
    <w:rsid w:val="00501E3E"/>
    <w:rsid w:val="00527019"/>
    <w:rsid w:val="00537CFB"/>
    <w:rsid w:val="00546C50"/>
    <w:rsid w:val="005D5A15"/>
    <w:rsid w:val="005F1309"/>
    <w:rsid w:val="006002D4"/>
    <w:rsid w:val="0064783C"/>
    <w:rsid w:val="00667B4E"/>
    <w:rsid w:val="006811AB"/>
    <w:rsid w:val="006C3DE0"/>
    <w:rsid w:val="006C6547"/>
    <w:rsid w:val="006D4D24"/>
    <w:rsid w:val="006E3504"/>
    <w:rsid w:val="006F00AE"/>
    <w:rsid w:val="0070000A"/>
    <w:rsid w:val="007173D2"/>
    <w:rsid w:val="007176D5"/>
    <w:rsid w:val="00737FDD"/>
    <w:rsid w:val="0075012C"/>
    <w:rsid w:val="007B2899"/>
    <w:rsid w:val="007B3F29"/>
    <w:rsid w:val="007E405A"/>
    <w:rsid w:val="007E5AED"/>
    <w:rsid w:val="007F43ED"/>
    <w:rsid w:val="00815A90"/>
    <w:rsid w:val="00830AC1"/>
    <w:rsid w:val="0085469D"/>
    <w:rsid w:val="008607A7"/>
    <w:rsid w:val="00861A82"/>
    <w:rsid w:val="0086355A"/>
    <w:rsid w:val="00876A2F"/>
    <w:rsid w:val="008848F8"/>
    <w:rsid w:val="0089291E"/>
    <w:rsid w:val="008A3C99"/>
    <w:rsid w:val="008B4785"/>
    <w:rsid w:val="008B4895"/>
    <w:rsid w:val="008B6805"/>
    <w:rsid w:val="008B76F5"/>
    <w:rsid w:val="008E0A02"/>
    <w:rsid w:val="008E26F6"/>
    <w:rsid w:val="00940C86"/>
    <w:rsid w:val="00942753"/>
    <w:rsid w:val="00947326"/>
    <w:rsid w:val="00960FF7"/>
    <w:rsid w:val="009709AA"/>
    <w:rsid w:val="009712CD"/>
    <w:rsid w:val="009866B3"/>
    <w:rsid w:val="009A0794"/>
    <w:rsid w:val="009C6987"/>
    <w:rsid w:val="009E0C82"/>
    <w:rsid w:val="009E7E67"/>
    <w:rsid w:val="00A106B6"/>
    <w:rsid w:val="00A213FC"/>
    <w:rsid w:val="00A44543"/>
    <w:rsid w:val="00A736C4"/>
    <w:rsid w:val="00A73F22"/>
    <w:rsid w:val="00A83EFB"/>
    <w:rsid w:val="00A917B9"/>
    <w:rsid w:val="00A9225B"/>
    <w:rsid w:val="00AA430D"/>
    <w:rsid w:val="00AD0F5D"/>
    <w:rsid w:val="00AD2B4F"/>
    <w:rsid w:val="00B017C3"/>
    <w:rsid w:val="00B04FC0"/>
    <w:rsid w:val="00B146A4"/>
    <w:rsid w:val="00B17E64"/>
    <w:rsid w:val="00B22E62"/>
    <w:rsid w:val="00B93563"/>
    <w:rsid w:val="00BA2657"/>
    <w:rsid w:val="00BA4E41"/>
    <w:rsid w:val="00BD48FB"/>
    <w:rsid w:val="00BF4D25"/>
    <w:rsid w:val="00C3790D"/>
    <w:rsid w:val="00C43AB6"/>
    <w:rsid w:val="00C822F9"/>
    <w:rsid w:val="00C95EA2"/>
    <w:rsid w:val="00C96859"/>
    <w:rsid w:val="00CA149D"/>
    <w:rsid w:val="00CA5B59"/>
    <w:rsid w:val="00CB46DC"/>
    <w:rsid w:val="00CD343B"/>
    <w:rsid w:val="00CE372D"/>
    <w:rsid w:val="00CF00A9"/>
    <w:rsid w:val="00D22B18"/>
    <w:rsid w:val="00D37014"/>
    <w:rsid w:val="00D771C1"/>
    <w:rsid w:val="00D95760"/>
    <w:rsid w:val="00DB0397"/>
    <w:rsid w:val="00DB19DB"/>
    <w:rsid w:val="00DB646E"/>
    <w:rsid w:val="00DE571D"/>
    <w:rsid w:val="00DF1E2C"/>
    <w:rsid w:val="00E376CF"/>
    <w:rsid w:val="00E37A7F"/>
    <w:rsid w:val="00E46AD4"/>
    <w:rsid w:val="00E55C2B"/>
    <w:rsid w:val="00E95144"/>
    <w:rsid w:val="00ED0913"/>
    <w:rsid w:val="00ED143E"/>
    <w:rsid w:val="00ED4D14"/>
    <w:rsid w:val="00F12593"/>
    <w:rsid w:val="00F33940"/>
    <w:rsid w:val="00F367D5"/>
    <w:rsid w:val="00F63713"/>
    <w:rsid w:val="00F646FB"/>
    <w:rsid w:val="00F67E86"/>
    <w:rsid w:val="00F80983"/>
    <w:rsid w:val="00F85457"/>
    <w:rsid w:val="00FD6B4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7D56-5D42-461B-B320-5871C52D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848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8848F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848F8"/>
  </w:style>
  <w:style w:type="paragraph" w:customStyle="1" w:styleId="a5">
    <w:name w:val="Прижатый влево"/>
    <w:basedOn w:val="a"/>
    <w:next w:val="a"/>
    <w:uiPriority w:val="99"/>
    <w:rsid w:val="00884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5548"/>
    <w:pPr>
      <w:ind w:left="720"/>
      <w:contextualSpacing/>
    </w:pPr>
  </w:style>
  <w:style w:type="paragraph" w:customStyle="1" w:styleId="TimesNewRoman">
    <w:name w:val="Times New Roman"/>
    <w:basedOn w:val="a"/>
    <w:qFormat/>
    <w:rsid w:val="007B2899"/>
    <w:pPr>
      <w:spacing w:after="200" w:line="240" w:lineRule="auto"/>
      <w:jc w:val="both"/>
    </w:pPr>
    <w:rPr>
      <w:rFonts w:ascii="Times New Roman" w:hAnsi="Times New Roman"/>
      <w:sz w:val="28"/>
    </w:rPr>
  </w:style>
  <w:style w:type="paragraph" w:styleId="a7">
    <w:name w:val="Title"/>
    <w:basedOn w:val="a"/>
    <w:link w:val="a8"/>
    <w:uiPriority w:val="10"/>
    <w:qFormat/>
    <w:rsid w:val="007B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B2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B2899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709AA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F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.75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8166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prir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AB93-EF9A-4708-ADCB-9EAE73E8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13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Кудренко Ольга Геннадьевна</dc:creator>
  <cp:keywords/>
  <dc:description/>
  <cp:lastModifiedBy>User</cp:lastModifiedBy>
  <cp:revision>102</cp:revision>
  <cp:lastPrinted>2023-02-06T01:17:00Z</cp:lastPrinted>
  <dcterms:created xsi:type="dcterms:W3CDTF">2021-01-28T22:41:00Z</dcterms:created>
  <dcterms:modified xsi:type="dcterms:W3CDTF">2023-02-09T01:37:00Z</dcterms:modified>
</cp:coreProperties>
</file>